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120"/>
        <w:jc w:val="center"/>
      </w:pPr>
      <w:r>
        <w:rPr>
          <w:rFonts w:ascii="SimSun" w:hAnsi="SimSun" w:eastAsia="SimSun"/>
          <w:b/>
          <w:sz w:val="36"/>
        </w:rPr>
        <w:t>中适能 AI 节能合作主合同</w:t>
      </w:r>
    </w:p>
    <w:p>
      <w:pPr>
        <w:jc w:val="center"/>
      </w:pPr>
      <w:r>
        <w:rPr>
          <w:rFonts w:ascii="SimSun" w:hAnsi="SimSun" w:eastAsia="SimSun"/>
          <w:b w:val="0"/>
          <w:sz w:val="24"/>
        </w:rPr>
        <w:t>（合同能源管理 · 策略即服务）</w:t>
      </w:r>
    </w:p>
    <w:p>
      <w:pPr>
        <w:jc w:val="center"/>
      </w:pPr>
      <w:r>
        <w:rPr>
          <w:rFonts w:ascii="SimSun" w:hAnsi="SimSun" w:eastAsia="SimSun"/>
          <w:b w:val="0"/>
          <w:sz w:val="22"/>
        </w:rPr>
        <w:t>合同编号：OSHNENG-EMC-[YYYY]-[NNN]</w:t>
      </w:r>
    </w:p>
    <w:p>
      <w:pPr>
        <w:spacing w:line="360" w:lineRule="auto"/>
        <w:ind w:firstLine="420"/>
      </w:pPr>
      <w:r>
        <w:rPr>
          <w:rFonts w:ascii="SimSun" w:hAnsi="SimSun" w:eastAsia="SimSun"/>
          <w:b w:val="0"/>
          <w:sz w:val="22"/>
        </w:rPr>
        <w:t>本合同依据《中华人民共和国节约能源法》《中华人民共和国民法典》第八百四十三条及 GB/T 24915-2020《合同能源管理技术通则》订立。乙方采用"策略即服务"模式独立投资 AI 节能引擎与计量设备，按 SCOP 物理基线计量节能效果；甲方仅就实际可验证的节能量按本合同约定比例支付分成，无前期投入、无固定费用、无效不付费。</w:t>
      </w:r>
    </w:p>
    <w:p>
      <w:pPr>
        <w:spacing w:before="240" w:after="120"/>
        <w:jc w:val="left"/>
      </w:pPr>
      <w:r>
        <w:rPr>
          <w:rFonts w:ascii="SimSun" w:hAnsi="SimSun" w:eastAsia="SimSun"/>
          <w:b/>
          <w:sz w:val="28"/>
        </w:rPr>
        <w:t>协议各方</w:t>
      </w:r>
    </w:p>
    <w:p>
      <w:pPr>
        <w:spacing w:line="360" w:lineRule="auto"/>
      </w:pPr>
      <w:r>
        <w:rPr>
          <w:rFonts w:ascii="SimSun" w:hAnsi="SimSun" w:eastAsia="SimSun"/>
          <w:b/>
          <w:sz w:val="22"/>
        </w:rPr>
        <w:t>甲方（用能单位/业主）：</w:t>
      </w:r>
    </w:p>
    <w:p>
      <w:pPr>
        <w:spacing w:line="360" w:lineRule="auto"/>
        <w:ind w:firstLine="420"/>
      </w:pPr>
      <w:r>
        <w:rPr>
          <w:rFonts w:ascii="SimSun" w:hAnsi="SimSun" w:eastAsia="SimSun"/>
          <w:b w:val="0"/>
          <w:sz w:val="22"/>
        </w:rPr>
        <w:t>名称：____________________________</w:t>
      </w:r>
    </w:p>
    <w:p>
      <w:pPr>
        <w:spacing w:line="360" w:lineRule="auto"/>
        <w:ind w:firstLine="420"/>
      </w:pPr>
      <w:r>
        <w:rPr>
          <w:rFonts w:ascii="SimSun" w:hAnsi="SimSun" w:eastAsia="SimSun"/>
          <w:b w:val="0"/>
          <w:sz w:val="22"/>
        </w:rPr>
        <w:t>统一社会信用代码：____________________________</w:t>
      </w:r>
    </w:p>
    <w:p>
      <w:pPr>
        <w:spacing w:line="360" w:lineRule="auto"/>
        <w:ind w:firstLine="420"/>
      </w:pPr>
      <w:r>
        <w:rPr>
          <w:rFonts w:ascii="SimSun" w:hAnsi="SimSun" w:eastAsia="SimSun"/>
          <w:b w:val="0"/>
          <w:sz w:val="22"/>
        </w:rPr>
        <w:t>法定代表人：____________  联系人：____________  电话：____________</w:t>
      </w:r>
    </w:p>
    <w:p>
      <w:pPr>
        <w:spacing w:line="360" w:lineRule="auto"/>
        <w:ind w:firstLine="420"/>
      </w:pPr>
      <w:r>
        <w:rPr>
          <w:rFonts w:ascii="SimSun" w:hAnsi="SimSun" w:eastAsia="SimSun"/>
          <w:b w:val="0"/>
          <w:sz w:val="22"/>
        </w:rPr>
        <w:t>地址：____________________________</w:t>
      </w:r>
    </w:p>
    <w:p>
      <w:pPr>
        <w:spacing w:line="360" w:lineRule="auto"/>
      </w:pPr>
      <w:r>
        <w:rPr>
          <w:rFonts w:ascii="SimSun" w:hAnsi="SimSun" w:eastAsia="SimSun"/>
          <w:b/>
          <w:sz w:val="22"/>
        </w:rPr>
        <w:t>乙方（节能服务公司）：</w:t>
      </w:r>
    </w:p>
    <w:p>
      <w:pPr>
        <w:spacing w:line="360" w:lineRule="auto"/>
        <w:ind w:firstLine="420"/>
      </w:pPr>
      <w:r>
        <w:rPr>
          <w:rFonts w:ascii="SimSun" w:hAnsi="SimSun" w:eastAsia="SimSun"/>
          <w:b w:val="0"/>
          <w:sz w:val="22"/>
        </w:rPr>
        <w:t>名称：北京中适能数字能源科技有限公司</w:t>
      </w:r>
    </w:p>
    <w:p>
      <w:pPr>
        <w:spacing w:line="360" w:lineRule="auto"/>
        <w:ind w:firstLine="420"/>
      </w:pPr>
      <w:r>
        <w:rPr>
          <w:rFonts w:ascii="SimSun" w:hAnsi="SimSun" w:eastAsia="SimSun"/>
          <w:b w:val="0"/>
          <w:sz w:val="22"/>
        </w:rPr>
        <w:t>统一社会信用代码：____________________________</w:t>
      </w:r>
    </w:p>
    <w:p>
      <w:pPr>
        <w:spacing w:line="360" w:lineRule="auto"/>
        <w:ind w:firstLine="420"/>
      </w:pPr>
      <w:r>
        <w:rPr>
          <w:rFonts w:ascii="SimSun" w:hAnsi="SimSun" w:eastAsia="SimSun"/>
          <w:b w:val="0"/>
          <w:sz w:val="22"/>
        </w:rPr>
        <w:t>法定代表人：____________  联系人：____________  电话：____________</w:t>
      </w:r>
    </w:p>
    <w:p>
      <w:pPr>
        <w:spacing w:line="360" w:lineRule="auto"/>
        <w:ind w:firstLine="420"/>
      </w:pPr>
      <w:r>
        <w:rPr>
          <w:rFonts w:ascii="SimSun" w:hAnsi="SimSun" w:eastAsia="SimSun"/>
          <w:b w:val="0"/>
          <w:sz w:val="22"/>
        </w:rPr>
        <w:t>地址：北京市朝阳区</w:t>
      </w:r>
    </w:p>
    <w:p>
      <w:pPr>
        <w:spacing w:before="240" w:after="120"/>
        <w:jc w:val="left"/>
      </w:pPr>
      <w:r>
        <w:rPr>
          <w:rFonts w:ascii="SimSun" w:hAnsi="SimSun" w:eastAsia="SimSun"/>
          <w:b/>
          <w:sz w:val="28"/>
        </w:rPr>
        <w:t>第一章 总则</w:t>
      </w:r>
    </w:p>
    <w:p>
      <w:pPr>
        <w:spacing w:before="120" w:after="120"/>
        <w:jc w:val="left"/>
      </w:pPr>
      <w:r>
        <w:rPr>
          <w:rFonts w:ascii="SimSun" w:hAnsi="SimSun" w:eastAsia="SimSun"/>
          <w:b/>
          <w:sz w:val="24"/>
        </w:rPr>
        <w:t>第一条 合作模式</w:t>
      </w:r>
    </w:p>
    <w:p>
      <w:pPr>
        <w:spacing w:line="360" w:lineRule="auto"/>
        <w:ind w:firstLine="420"/>
      </w:pPr>
      <w:r>
        <w:rPr>
          <w:rFonts w:ascii="SimSun" w:hAnsi="SimSun" w:eastAsia="SimSun"/>
          <w:b w:val="0"/>
          <w:sz w:val="22"/>
        </w:rPr>
        <w:t>1. 乙方独立投资部署 AI 节能引擎、计量设备及边缘网关，独立运营 AI 节能服务；合作期内全部计量设备、AI 引擎及衍生数据资产的所有权归乙方。</w:t>
      </w:r>
    </w:p>
    <w:p>
      <w:pPr>
        <w:spacing w:line="360" w:lineRule="auto"/>
        <w:ind w:firstLine="420"/>
      </w:pPr>
      <w:r>
        <w:rPr>
          <w:rFonts w:ascii="SimSun" w:hAnsi="SimSun" w:eastAsia="SimSun"/>
          <w:b w:val="0"/>
          <w:sz w:val="22"/>
        </w:rPr>
        <w:t>2. 甲方无须任何前期投入；仅在 AI 策略启用并产生可验证节能量的月份按本合同约定支付分成，关停期间零费用。</w:t>
      </w:r>
    </w:p>
    <w:p>
      <w:pPr>
        <w:spacing w:before="120" w:after="120"/>
        <w:jc w:val="left"/>
      </w:pPr>
      <w:r>
        <w:rPr>
          <w:rFonts w:ascii="SimSun" w:hAnsi="SimSun" w:eastAsia="SimSun"/>
          <w:b/>
          <w:sz w:val="24"/>
        </w:rPr>
        <w:t>第二条 合作期限</w:t>
      </w:r>
    </w:p>
    <w:p>
      <w:pPr>
        <w:spacing w:line="360" w:lineRule="auto"/>
        <w:ind w:firstLine="420"/>
      </w:pPr>
      <w:r>
        <w:rPr>
          <w:rFonts w:ascii="SimSun" w:hAnsi="SimSun" w:eastAsia="SimSun"/>
          <w:b w:val="0"/>
          <w:sz w:val="22"/>
        </w:rPr>
        <w:t>1. 合作期自本合同生效之日起算，最低合作期为 5 个完整运行年。</w:t>
      </w:r>
    </w:p>
    <w:p>
      <w:pPr>
        <w:spacing w:line="360" w:lineRule="auto"/>
        <w:ind w:firstLine="420"/>
      </w:pPr>
      <w:r>
        <w:rPr>
          <w:rFonts w:ascii="SimSun" w:hAnsi="SimSun" w:eastAsia="SimSun"/>
          <w:b w:val="0"/>
          <w:sz w:val="22"/>
        </w:rPr>
        <w:t>2. 5 年期满后自动顺延一年，任一方在期满前 90 日书面通知后可终止；最低合作期内甲方主动解除合作框架（撤除设备）的，按第十七条阶梯补偿执行。</w:t>
      </w:r>
    </w:p>
    <w:p>
      <w:pPr>
        <w:spacing w:line="360" w:lineRule="auto"/>
        <w:ind w:firstLine="420"/>
      </w:pPr>
      <w:r>
        <w:rPr>
          <w:rFonts w:ascii="SimSun" w:hAnsi="SimSun" w:eastAsia="SimSun"/>
          <w:b w:val="0"/>
          <w:sz w:val="22"/>
        </w:rPr>
        <w:t>3. 关停 AI 策略不构成合同终止：甲方有权随时通过软件平台或书面通知关停 AI 策略，关停期间双方主合同继续有效，仅免除关停期分成义务，不视为违约，亦不延长合作期。</w:t>
      </w:r>
    </w:p>
    <w:p>
      <w:pPr>
        <w:spacing w:before="120" w:after="120"/>
        <w:jc w:val="left"/>
      </w:pPr>
      <w:r>
        <w:rPr>
          <w:rFonts w:ascii="SimSun" w:hAnsi="SimSun" w:eastAsia="SimSun"/>
          <w:b/>
          <w:sz w:val="24"/>
        </w:rPr>
        <w:t>第三条 项目范围</w:t>
      </w:r>
    </w:p>
    <w:p>
      <w:pPr>
        <w:spacing w:line="360" w:lineRule="auto"/>
        <w:ind w:firstLine="420"/>
      </w:pPr>
      <w:r>
        <w:rPr>
          <w:rFonts w:ascii="SimSun" w:hAnsi="SimSun" w:eastAsia="SimSun"/>
          <w:b w:val="0"/>
          <w:sz w:val="22"/>
        </w:rPr>
        <w:t>项目地址：____________________________</w:t>
      </w:r>
    </w:p>
    <w:p>
      <w:pPr>
        <w:spacing w:line="360" w:lineRule="auto"/>
        <w:ind w:firstLine="420"/>
      </w:pPr>
      <w:r>
        <w:rPr>
          <w:rFonts w:ascii="SimSun" w:hAnsi="SimSun" w:eastAsia="SimSun"/>
          <w:b w:val="0"/>
          <w:sz w:val="22"/>
        </w:rPr>
        <w:t>建筑面积：____________ m²；暖通系统类型：____________；装机总功率：____________ kW</w:t>
      </w:r>
    </w:p>
    <w:p>
      <w:pPr>
        <w:spacing w:line="360" w:lineRule="auto"/>
        <w:ind w:firstLine="420"/>
      </w:pPr>
      <w:r>
        <w:rPr>
          <w:rFonts w:ascii="SimSun" w:hAnsi="SimSun" w:eastAsia="SimSun"/>
          <w:b w:val="0"/>
          <w:sz w:val="22"/>
        </w:rPr>
        <w:t>具体设备清单、技术接入方案、安装位置等通过中适能数字能源平台（以下简称"平台"）登记并由双方电子确认。</w:t>
      </w:r>
    </w:p>
    <w:p>
      <w:pPr>
        <w:spacing w:before="240" w:after="120"/>
        <w:jc w:val="left"/>
      </w:pPr>
      <w:r>
        <w:rPr>
          <w:rFonts w:ascii="SimSun" w:hAnsi="SimSun" w:eastAsia="SimSun"/>
          <w:b/>
          <w:sz w:val="28"/>
        </w:rPr>
        <w:t>第二章 双方权利义务</w:t>
      </w:r>
    </w:p>
    <w:p>
      <w:pPr>
        <w:spacing w:before="120" w:after="120"/>
        <w:jc w:val="left"/>
      </w:pPr>
      <w:r>
        <w:rPr>
          <w:rFonts w:ascii="SimSun" w:hAnsi="SimSun" w:eastAsia="SimSun"/>
          <w:b/>
          <w:sz w:val="24"/>
        </w:rPr>
        <w:t>第四条 乙方义务</w:t>
      </w:r>
    </w:p>
    <w:p>
      <w:pPr>
        <w:spacing w:line="360" w:lineRule="auto"/>
        <w:ind w:firstLine="420"/>
      </w:pPr>
      <w:r>
        <w:rPr>
          <w:rFonts w:ascii="SimSun" w:hAnsi="SimSun" w:eastAsia="SimSun"/>
          <w:b w:val="0"/>
          <w:sz w:val="22"/>
        </w:rPr>
        <w:t>1. 按效果付费投入：乙方自行承担全部计量设备、AI 引擎、网关、传感器及部署服务的费用，甲方不承担任何前期费用。</w:t>
      </w:r>
    </w:p>
    <w:p>
      <w:pPr>
        <w:spacing w:line="360" w:lineRule="auto"/>
        <w:ind w:firstLine="420"/>
      </w:pPr>
      <w:r>
        <w:rPr>
          <w:rFonts w:ascii="SimSun" w:hAnsi="SimSun" w:eastAsia="SimSun"/>
          <w:b w:val="0"/>
          <w:sz w:val="22"/>
        </w:rPr>
        <w:t>2. 计量合规：所有用于结算的电能表、热量表均经法定计量检定机构强制检定合格（JJG 596、JJG 225），检定/校验费用由乙方承担。</w:t>
      </w:r>
    </w:p>
    <w:p>
      <w:pPr>
        <w:spacing w:line="360" w:lineRule="auto"/>
        <w:ind w:firstLine="420"/>
      </w:pPr>
      <w:r>
        <w:rPr>
          <w:rFonts w:ascii="SimSun" w:hAnsi="SimSun" w:eastAsia="SimSun"/>
          <w:b w:val="0"/>
          <w:sz w:val="22"/>
        </w:rPr>
        <w:t>3. 运维保障：合作期内提供 7×24 远程运维、4 小时远程响应、24 小时现场响应；任意自然月响应超时累计 3 次的，乙方在下一结算期向甲方退还该月乙方实际应得分成的 10% 作为服务补偿。</w:t>
      </w:r>
    </w:p>
    <w:p>
      <w:pPr>
        <w:spacing w:line="360" w:lineRule="auto"/>
        <w:ind w:firstLine="420"/>
      </w:pPr>
      <w:r>
        <w:rPr>
          <w:rFonts w:ascii="SimSun" w:hAnsi="SimSun" w:eastAsia="SimSun"/>
          <w:b w:val="0"/>
          <w:sz w:val="22"/>
        </w:rPr>
        <w:t>4. 安全约束：AI 策略内置负荷率、压缩比、过流、温度、通讯异常等多层安全保护；任何异常或通信中断时系统自动回退至甲方原有运行模式。</w:t>
      </w:r>
    </w:p>
    <w:p>
      <w:pPr>
        <w:spacing w:line="360" w:lineRule="auto"/>
        <w:ind w:firstLine="420"/>
      </w:pPr>
      <w:r>
        <w:rPr>
          <w:rFonts w:ascii="SimSun" w:hAnsi="SimSun" w:eastAsia="SimSun"/>
          <w:b w:val="0"/>
          <w:sz w:val="22"/>
        </w:rPr>
        <w:t>5. 数据透明：甲方可通过平台随时查阅原始计量数据、月度节能量、SCOP 趋势曲线及运维记录。</w:t>
      </w:r>
    </w:p>
    <w:p>
      <w:pPr>
        <w:spacing w:before="120" w:after="120"/>
        <w:jc w:val="left"/>
      </w:pPr>
      <w:r>
        <w:rPr>
          <w:rFonts w:ascii="SimSun" w:hAnsi="SimSun" w:eastAsia="SimSun"/>
          <w:b/>
          <w:sz w:val="24"/>
        </w:rPr>
        <w:t>第五条 甲方义务</w:t>
      </w:r>
    </w:p>
    <w:p>
      <w:pPr>
        <w:spacing w:line="360" w:lineRule="auto"/>
        <w:ind w:firstLine="420"/>
      </w:pPr>
      <w:r>
        <w:rPr>
          <w:rFonts w:ascii="SimSun" w:hAnsi="SimSun" w:eastAsia="SimSun"/>
          <w:b w:val="0"/>
          <w:sz w:val="22"/>
        </w:rPr>
        <w:t>1. 提供计量设备及网关安装所需的物理接入条件（电源、通讯、管路接口）。</w:t>
      </w:r>
    </w:p>
    <w:p>
      <w:pPr>
        <w:spacing w:line="360" w:lineRule="auto"/>
        <w:ind w:firstLine="420"/>
      </w:pPr>
      <w:r>
        <w:rPr>
          <w:rFonts w:ascii="SimSun" w:hAnsi="SimSun" w:eastAsia="SimSun"/>
          <w:b w:val="0"/>
          <w:sz w:val="22"/>
        </w:rPr>
        <w:t>2. 指定一名联络人配合工作并接收平台月度报告。</w:t>
      </w:r>
    </w:p>
    <w:p>
      <w:pPr>
        <w:spacing w:line="360" w:lineRule="auto"/>
        <w:ind w:firstLine="420"/>
      </w:pPr>
      <w:r>
        <w:rPr>
          <w:rFonts w:ascii="SimSun" w:hAnsi="SimSun" w:eastAsia="SimSun"/>
          <w:b w:val="0"/>
          <w:sz w:val="22"/>
        </w:rPr>
        <w:t>3. 不擅自拆除或损坏乙方安装的计量设备和网关；按平台公示的运行规范使用系统。</w:t>
      </w:r>
    </w:p>
    <w:p>
      <w:pPr>
        <w:spacing w:line="360" w:lineRule="auto"/>
        <w:ind w:firstLine="420"/>
      </w:pPr>
      <w:r>
        <w:rPr>
          <w:rFonts w:ascii="SimSun" w:hAnsi="SimSun" w:eastAsia="SimSun"/>
          <w:b w:val="0"/>
          <w:sz w:val="22"/>
        </w:rPr>
        <w:t>4. 按本合同第十条约定支付分成。</w:t>
      </w:r>
    </w:p>
    <w:p>
      <w:pPr>
        <w:spacing w:before="240" w:after="120"/>
        <w:jc w:val="left"/>
      </w:pPr>
      <w:r>
        <w:rPr>
          <w:rFonts w:ascii="SimSun" w:hAnsi="SimSun" w:eastAsia="SimSun"/>
          <w:b/>
          <w:sz w:val="28"/>
        </w:rPr>
        <w:t>第三章 节能基线与计量</w:t>
      </w:r>
    </w:p>
    <w:p>
      <w:pPr>
        <w:spacing w:before="120" w:after="120"/>
        <w:jc w:val="left"/>
      </w:pPr>
      <w:r>
        <w:rPr>
          <w:rFonts w:ascii="SimSun" w:hAnsi="SimSun" w:eastAsia="SimSun"/>
          <w:b/>
          <w:sz w:val="24"/>
        </w:rPr>
        <w:t>第六条 SCOP 物理基线</w:t>
      </w:r>
    </w:p>
    <w:p>
      <w:pPr>
        <w:spacing w:line="360" w:lineRule="auto"/>
        <w:ind w:firstLine="420"/>
      </w:pPr>
      <w:r>
        <w:rPr>
          <w:rFonts w:ascii="SimSun" w:hAnsi="SimSun" w:eastAsia="SimSun"/>
          <w:b w:val="0"/>
          <w:sz w:val="22"/>
        </w:rPr>
        <w:t>1. 双方采用 SCOP 纯物理基线法（GB/T 28750-2012 方案 B 设备隔离法），仅以电表读数（W_in）、热量表读数（Q_out）、室外温度（T_outdoor）三组物理量为计量依据，不引入入住率、营业时间、人员密度等人为修正变量。</w:t>
      </w:r>
    </w:p>
    <w:p>
      <w:pPr>
        <w:spacing w:line="360" w:lineRule="auto"/>
        <w:ind w:firstLine="420"/>
      </w:pPr>
      <w:r>
        <w:rPr>
          <w:rFonts w:ascii="SimSun" w:hAnsi="SimSun" w:eastAsia="SimSun"/>
          <w:b w:val="0"/>
          <w:sz w:val="22"/>
        </w:rPr>
        <w:t>2. 核心公式：SCOP = ΣQ_out / ΣW_in；W_基线 = Q_out × f⁻¹(T_outdoor)；节能量 = W_基线 − W_实际。</w:t>
      </w:r>
    </w:p>
    <w:p>
      <w:pPr>
        <w:spacing w:line="360" w:lineRule="auto"/>
        <w:ind w:firstLine="420"/>
      </w:pPr>
      <w:r>
        <w:rPr>
          <w:rFonts w:ascii="SimSun" w:hAnsi="SimSun" w:eastAsia="SimSun"/>
          <w:b w:val="0"/>
          <w:sz w:val="22"/>
        </w:rPr>
        <w:t>3. 本合同签署前，双方已基于至少连续 30 天、5 分钟采集间隔的运行数据建立 SCOP 基线函数 f(T_outdoor)，拟合优度 R² ≥ 0.85，并经双方在平台上电子确认形成《SCOP 基线确认单》（构成本合同附件 A，与本合同具有同等效力）。</w:t>
      </w:r>
    </w:p>
    <w:p>
      <w:pPr>
        <w:spacing w:line="360" w:lineRule="auto"/>
        <w:ind w:firstLine="420"/>
      </w:pPr>
      <w:r>
        <w:rPr>
          <w:rFonts w:ascii="SimSun" w:hAnsi="SimSun" w:eastAsia="SimSun"/>
          <w:b w:val="0"/>
          <w:sz w:val="22"/>
        </w:rPr>
        <w:t>4. 仅当甲方系统发生重大变更（增减主机、改变管路、建筑面积变化超过 20%）时，经双方协商重新建立基线；新基线经双方电子确认后取代原附件 A。</w:t>
      </w:r>
    </w:p>
    <w:p>
      <w:pPr>
        <w:spacing w:before="120" w:after="120"/>
        <w:jc w:val="left"/>
      </w:pPr>
      <w:r>
        <w:rPr>
          <w:rFonts w:ascii="SimSun" w:hAnsi="SimSun" w:eastAsia="SimSun"/>
          <w:b/>
          <w:sz w:val="24"/>
        </w:rPr>
        <w:t>第七条 室外温度数据来源</w:t>
      </w:r>
    </w:p>
    <w:p>
      <w:pPr>
        <w:spacing w:line="360" w:lineRule="auto"/>
        <w:ind w:firstLine="420"/>
      </w:pPr>
      <w:r>
        <w:rPr>
          <w:rFonts w:ascii="SimSun" w:hAnsi="SimSun" w:eastAsia="SimSun"/>
          <w:b w:val="0"/>
          <w:sz w:val="22"/>
        </w:rPr>
        <w:t>室外温度优先采用中国气象数据网（data.cma.cn）发布的项目所在地最近气象站逐时数据；缺失超过 24 小时时以现场传感器读数为准；偏差异常时按平台自动判定规则处理。</w:t>
      </w:r>
    </w:p>
    <w:p>
      <w:pPr>
        <w:spacing w:before="120" w:after="120"/>
        <w:jc w:val="left"/>
      </w:pPr>
      <w:r>
        <w:rPr>
          <w:rFonts w:ascii="SimSun" w:hAnsi="SimSun" w:eastAsia="SimSun"/>
          <w:b/>
          <w:sz w:val="24"/>
        </w:rPr>
        <w:t>第八条 第三方核证</w:t>
      </w:r>
    </w:p>
    <w:p>
      <w:pPr>
        <w:spacing w:line="360" w:lineRule="auto"/>
        <w:ind w:firstLine="420"/>
      </w:pPr>
      <w:r>
        <w:rPr>
          <w:rFonts w:ascii="SimSun" w:hAnsi="SimSun" w:eastAsia="SimSun"/>
          <w:b w:val="0"/>
          <w:sz w:val="22"/>
        </w:rPr>
        <w:t>1. 甲方有权在合作期内任何时点单方面委托具有计量检测资质的第三方机构（含但不限于法定计量检定机构、具有 CNAS/CMA 资质的检测机构）对计量设备、原始数据、基线函数及月度节能量进行独立核证；甲方应提前 5 个工作日书面通知乙方，乙方应无条件配合。</w:t>
      </w:r>
    </w:p>
    <w:p>
      <w:pPr>
        <w:spacing w:line="360" w:lineRule="auto"/>
        <w:ind w:firstLine="420"/>
      </w:pPr>
      <w:r>
        <w:rPr>
          <w:rFonts w:ascii="SimSun" w:hAnsi="SimSun" w:eastAsia="SimSun"/>
          <w:b w:val="0"/>
          <w:sz w:val="22"/>
        </w:rPr>
        <w:t>2. 核证费用由提出方承担；如核证结论为乙方计量或计算存在重大偏差（节能量偏差超过 5%），核证费用由乙方承担，并按核证结论调整结算。</w:t>
      </w:r>
    </w:p>
    <w:p>
      <w:pPr>
        <w:spacing w:line="360" w:lineRule="auto"/>
        <w:ind w:firstLine="420"/>
      </w:pPr>
      <w:r>
        <w:rPr>
          <w:rFonts w:ascii="SimSun" w:hAnsi="SimSun" w:eastAsia="SimSun"/>
          <w:b w:val="0"/>
          <w:sz w:val="22"/>
        </w:rPr>
        <w:t>3. 核证期间不影响本合同其他条款的履行；双方按既有数据继续结算，结论确定后多退少补。</w:t>
      </w:r>
    </w:p>
    <w:p>
      <w:pPr>
        <w:spacing w:before="240" w:after="120"/>
        <w:jc w:val="left"/>
      </w:pPr>
      <w:r>
        <w:rPr>
          <w:rFonts w:ascii="SimSun" w:hAnsi="SimSun" w:eastAsia="SimSun"/>
          <w:b/>
          <w:sz w:val="28"/>
        </w:rPr>
        <w:t>第四章 收益分配</w:t>
      </w:r>
    </w:p>
    <w:p>
      <w:pPr>
        <w:spacing w:before="120" w:after="120"/>
        <w:jc w:val="left"/>
      </w:pPr>
      <w:r>
        <w:rPr>
          <w:rFonts w:ascii="SimSun" w:hAnsi="SimSun" w:eastAsia="SimSun"/>
          <w:b/>
          <w:sz w:val="24"/>
        </w:rPr>
        <w:t>第九条 双轨分成</w:t>
      </w:r>
    </w:p>
    <w:p>
      <w:pPr>
        <w:spacing w:line="360" w:lineRule="auto"/>
        <w:ind w:firstLine="420"/>
      </w:pPr>
      <w:r>
        <w:rPr>
          <w:rFonts w:ascii="SimSun" w:hAnsi="SimSun" w:eastAsia="SimSun"/>
          <w:b w:val="0"/>
          <w:sz w:val="22"/>
        </w:rPr>
        <w:t>依据 GB/T 24915-2020 第 7 章节能效益分享型逻辑，本合同将节能收益按性质拆分为 A、B 两类分别分配：</w:t>
      </w:r>
    </w:p>
    <w:tbl>
      <w:tblPr>
        <w:tblStyle w:val="LightGrid-Accent1"/>
        <w:tblW w:type="auto" w:w="0"/>
        <w:tblLook w:firstColumn="1" w:firstRow="1" w:lastColumn="0" w:lastRow="0" w:noHBand="0" w:noVBand="1" w:val="04A0"/>
      </w:tblPr>
      <w:tblGrid>
        <w:gridCol w:w="2351"/>
        <w:gridCol w:w="2351"/>
        <w:gridCol w:w="2351"/>
        <w:gridCol w:w="2351"/>
      </w:tblGrid>
      <w:tr>
        <w:tc>
          <w:tcPr>
            <w:tcW w:type="dxa" w:w="1984"/>
          </w:tcPr>
          <w:p>
            <w:r/>
            <w:r>
              <w:rPr>
                <w:rFonts w:ascii="SimSun" w:hAnsi="SimSun" w:eastAsia="SimSun"/>
                <w:b/>
                <w:sz w:val="20"/>
              </w:rPr>
              <w:t>收益类型</w:t>
            </w:r>
          </w:p>
        </w:tc>
        <w:tc>
          <w:tcPr>
            <w:tcW w:type="dxa" w:w="3685"/>
          </w:tcPr>
          <w:p>
            <w:r/>
            <w:r>
              <w:rPr>
                <w:rFonts w:ascii="SimSun" w:hAnsi="SimSun" w:eastAsia="SimSun"/>
                <w:b/>
                <w:sz w:val="20"/>
              </w:rPr>
              <w:t>说明</w:t>
            </w:r>
          </w:p>
        </w:tc>
        <w:tc>
          <w:tcPr>
            <w:tcW w:type="dxa" w:w="1417"/>
          </w:tcPr>
          <w:p>
            <w:r/>
            <w:r>
              <w:rPr>
                <w:rFonts w:ascii="SimSun" w:hAnsi="SimSun" w:eastAsia="SimSun"/>
                <w:b/>
                <w:sz w:val="20"/>
              </w:rPr>
              <w:t>甲方分成</w:t>
            </w:r>
          </w:p>
        </w:tc>
        <w:tc>
          <w:tcPr>
            <w:tcW w:type="dxa" w:w="1417"/>
          </w:tcPr>
          <w:p>
            <w:r/>
            <w:r>
              <w:rPr>
                <w:rFonts w:ascii="SimSun" w:hAnsi="SimSun" w:eastAsia="SimSun"/>
                <w:b/>
                <w:sz w:val="20"/>
              </w:rPr>
              <w:t>乙方分成</w:t>
            </w:r>
          </w:p>
        </w:tc>
      </w:tr>
      <w:tr>
        <w:tc>
          <w:tcPr>
            <w:tcW w:type="dxa" w:w="1984"/>
          </w:tcPr>
          <w:p>
            <w:r/>
            <w:r>
              <w:rPr>
                <w:rFonts w:ascii="SimSun" w:hAnsi="SimSun" w:eastAsia="SimSun"/>
                <w:b w:val="0"/>
                <w:sz w:val="20"/>
              </w:rPr>
              <w:t>A 类：SCOP 可计量节能</w:t>
            </w:r>
          </w:p>
        </w:tc>
        <w:tc>
          <w:tcPr>
            <w:tcW w:type="dxa" w:w="3685"/>
          </w:tcPr>
          <w:p>
            <w:r/>
            <w:r>
              <w:rPr>
                <w:rFonts w:ascii="SimSun" w:hAnsi="SimSun" w:eastAsia="SimSun"/>
                <w:b w:val="0"/>
                <w:sz w:val="20"/>
              </w:rPr>
              <w:t>基于 SCOP 基线对照可独立计量验证的节能量</w:t>
            </w:r>
          </w:p>
        </w:tc>
        <w:tc>
          <w:tcPr>
            <w:tcW w:type="dxa" w:w="1417"/>
          </w:tcPr>
          <w:p>
            <w:r/>
            <w:r>
              <w:rPr>
                <w:rFonts w:ascii="SimSun" w:hAnsi="SimSun" w:eastAsia="SimSun"/>
                <w:b w:val="0"/>
                <w:sz w:val="20"/>
              </w:rPr>
              <w:t>50%</w:t>
            </w:r>
          </w:p>
        </w:tc>
        <w:tc>
          <w:tcPr>
            <w:tcW w:type="dxa" w:w="1417"/>
          </w:tcPr>
          <w:p>
            <w:r/>
            <w:r>
              <w:rPr>
                <w:rFonts w:ascii="SimSun" w:hAnsi="SimSun" w:eastAsia="SimSun"/>
                <w:b w:val="0"/>
                <w:sz w:val="20"/>
              </w:rPr>
              <w:t>50%</w:t>
            </w:r>
          </w:p>
        </w:tc>
      </w:tr>
      <w:tr>
        <w:tc>
          <w:tcPr>
            <w:tcW w:type="dxa" w:w="1984"/>
          </w:tcPr>
          <w:p>
            <w:r/>
            <w:r>
              <w:rPr>
                <w:rFonts w:ascii="SimSun" w:hAnsi="SimSun" w:eastAsia="SimSun"/>
                <w:b w:val="0"/>
                <w:sz w:val="20"/>
              </w:rPr>
              <w:t>B 类：AI 策略增益</w:t>
            </w:r>
          </w:p>
        </w:tc>
        <w:tc>
          <w:tcPr>
            <w:tcW w:type="dxa" w:w="3685"/>
          </w:tcPr>
          <w:p>
            <w:r/>
            <w:r>
              <w:rPr>
                <w:rFonts w:ascii="SimSun" w:hAnsi="SimSun" w:eastAsia="SimSun"/>
                <w:b w:val="0"/>
                <w:sz w:val="20"/>
              </w:rPr>
              <w:t>AI 策略相对基线进一步深度优化产生的增量节能</w:t>
            </w:r>
          </w:p>
        </w:tc>
        <w:tc>
          <w:tcPr>
            <w:tcW w:type="dxa" w:w="1417"/>
          </w:tcPr>
          <w:p>
            <w:r/>
            <w:r>
              <w:rPr>
                <w:rFonts w:ascii="SimSun" w:hAnsi="SimSun" w:eastAsia="SimSun"/>
                <w:b w:val="0"/>
                <w:sz w:val="20"/>
              </w:rPr>
              <w:t>100%</w:t>
            </w:r>
          </w:p>
        </w:tc>
        <w:tc>
          <w:tcPr>
            <w:tcW w:type="dxa" w:w="1417"/>
          </w:tcPr>
          <w:p>
            <w:r/>
            <w:r>
              <w:rPr>
                <w:rFonts w:ascii="SimSun" w:hAnsi="SimSun" w:eastAsia="SimSun"/>
                <w:b w:val="0"/>
                <w:sz w:val="20"/>
              </w:rPr>
              <w:t>0%</w:t>
            </w:r>
          </w:p>
        </w:tc>
      </w:tr>
    </w:tbl>
    <w:p>
      <w:pPr>
        <w:spacing w:line="360" w:lineRule="auto"/>
        <w:ind w:firstLine="420"/>
      </w:pPr>
      <w:r>
        <w:rPr>
          <w:rFonts w:ascii="SimSun" w:hAnsi="SimSun" w:eastAsia="SimSun"/>
          <w:b w:val="0"/>
          <w:sz w:val="22"/>
        </w:rPr>
        <w:t>【综合效果】根据典型工况测算，按本模式甲方综合可获得节能收益的 80% 以上，乙方综合获得 20% 以下。A/B 类拆分公式由平台自动计算并出具明细，B 类节能为负值时按零计算（不发生倒贴）。</w:t>
      </w:r>
    </w:p>
    <w:p>
      <w:pPr>
        <w:spacing w:before="120" w:after="120"/>
        <w:jc w:val="left"/>
      </w:pPr>
      <w:r>
        <w:rPr>
          <w:rFonts w:ascii="SimSun" w:hAnsi="SimSun" w:eastAsia="SimSun"/>
          <w:b/>
          <w:sz w:val="24"/>
        </w:rPr>
        <w:t>第十条 月度结算</w:t>
      </w:r>
    </w:p>
    <w:p>
      <w:pPr>
        <w:spacing w:line="360" w:lineRule="auto"/>
        <w:ind w:firstLine="420"/>
      </w:pPr>
      <w:r>
        <w:rPr>
          <w:rFonts w:ascii="SimSun" w:hAnsi="SimSun" w:eastAsia="SimSun"/>
          <w:b w:val="0"/>
          <w:sz w:val="22"/>
        </w:rPr>
        <w:t>1. 月度节能收益（元） = 月度验证节能量（kWh） × 当月加权平均电价（元/kWh）。分时电价的，按对应时段电价加权计算。</w:t>
      </w:r>
    </w:p>
    <w:p>
      <w:pPr>
        <w:spacing w:line="360" w:lineRule="auto"/>
        <w:ind w:firstLine="420"/>
      </w:pPr>
      <w:r>
        <w:rPr>
          <w:rFonts w:ascii="SimSun" w:hAnsi="SimSun" w:eastAsia="SimSun"/>
          <w:b w:val="0"/>
          <w:sz w:val="22"/>
        </w:rPr>
        <w:t>2. 乙方于每月第 5 个工作日前通过平台向甲方推送上月《节能量确认单》。甲方应在收到后 20 个工作日内通过平台电子签字确认或提出书面异议；逾期未签字也未提出异议的，视为确认。</w:t>
      </w:r>
    </w:p>
    <w:p>
      <w:pPr>
        <w:spacing w:line="360" w:lineRule="auto"/>
        <w:ind w:firstLine="420"/>
      </w:pPr>
      <w:r>
        <w:rPr>
          <w:rFonts w:ascii="SimSun" w:hAnsi="SimSun" w:eastAsia="SimSun"/>
          <w:b w:val="0"/>
          <w:sz w:val="22"/>
        </w:rPr>
        <w:t>3. 甲方电子确认或视为确认后 15 个工作日内，按确认金额向乙方对公账户支付乙方应得分成；乙方按实际结算金额开具增值税发票。</w:t>
      </w:r>
    </w:p>
    <w:p>
      <w:pPr>
        <w:spacing w:line="360" w:lineRule="auto"/>
        <w:ind w:firstLine="420"/>
      </w:pPr>
      <w:r>
        <w:rPr>
          <w:rFonts w:ascii="SimSun" w:hAnsi="SimSun" w:eastAsia="SimSun"/>
          <w:b w:val="0"/>
          <w:sz w:val="22"/>
        </w:rPr>
        <w:t>4. 逾期支付的，自逾期之日起按日万分之五计收违约金。</w:t>
      </w:r>
    </w:p>
    <w:p>
      <w:pPr>
        <w:spacing w:line="360" w:lineRule="auto"/>
        <w:ind w:firstLine="420"/>
      </w:pPr>
      <w:r>
        <w:rPr>
          <w:rFonts w:ascii="SimSun" w:hAnsi="SimSun" w:eastAsia="SimSun"/>
          <w:b w:val="0"/>
          <w:sz w:val="22"/>
        </w:rPr>
        <w:t>5. 异议处理：甲方对节能量数据有异议的，应在前述 20 个工作日内通过平台提交具体证据；双方协商不成的，按第八条第三方核证或第十九条争议解决条款处理；异议处理期间分成支付按原始确认单金额执行，多退少补。</w:t>
      </w:r>
    </w:p>
    <w:p>
      <w:pPr>
        <w:spacing w:before="240" w:after="120"/>
        <w:jc w:val="left"/>
      </w:pPr>
      <w:r>
        <w:rPr>
          <w:rFonts w:ascii="SimSun" w:hAnsi="SimSun" w:eastAsia="SimSun"/>
          <w:b/>
          <w:sz w:val="28"/>
        </w:rPr>
        <w:t>第五章 数据与知识产权</w:t>
      </w:r>
    </w:p>
    <w:p>
      <w:pPr>
        <w:spacing w:before="120" w:after="120"/>
        <w:jc w:val="left"/>
      </w:pPr>
      <w:r>
        <w:rPr>
          <w:rFonts w:ascii="SimSun" w:hAnsi="SimSun" w:eastAsia="SimSun"/>
          <w:b/>
          <w:sz w:val="24"/>
        </w:rPr>
        <w:t>第十一条 数据权属</w:t>
      </w:r>
    </w:p>
    <w:p>
      <w:pPr>
        <w:spacing w:line="360" w:lineRule="auto"/>
        <w:ind w:firstLine="420"/>
      </w:pPr>
      <w:r>
        <w:rPr>
          <w:rFonts w:ascii="SimSun" w:hAnsi="SimSun" w:eastAsia="SimSun"/>
          <w:b w:val="0"/>
          <w:sz w:val="22"/>
        </w:rPr>
        <w:t>1. 原始运行数据（电表/热表/温度等纯物理时序数据）由乙方采集、存储、运维。甲方对原始数据享有查阅权、审计权及用于自身能耗管理、能源审计、碳排放报送等合规用途的永久使用权，但不享有所有权与处分权，不得转售或公开发布。</w:t>
      </w:r>
    </w:p>
    <w:p>
      <w:pPr>
        <w:spacing w:line="360" w:lineRule="auto"/>
        <w:ind w:firstLine="420"/>
      </w:pPr>
      <w:r>
        <w:rPr>
          <w:rFonts w:ascii="SimSun" w:hAnsi="SimSun" w:eastAsia="SimSun"/>
          <w:b w:val="0"/>
          <w:sz w:val="22"/>
        </w:rPr>
        <w:t>2. 衍生数据（SCOP 基线函数、AI 策略调优记录、模型参数、能源行为模型、月度/年度分析报告、跨项目聚合策略库等）归乙方独家所有。</w:t>
      </w:r>
    </w:p>
    <w:p>
      <w:pPr>
        <w:spacing w:line="360" w:lineRule="auto"/>
        <w:ind w:firstLine="420"/>
      </w:pPr>
      <w:r>
        <w:rPr>
          <w:rFonts w:ascii="SimSun" w:hAnsi="SimSun" w:eastAsia="SimSun"/>
          <w:b w:val="0"/>
          <w:sz w:val="22"/>
        </w:rPr>
        <w:t>3. 合作终止后，甲方有权书面申请获得：① 合作期内全部原始计量数据 CSV/Excel 一份；② 能耗历史汇总报表 PDF 一份。乙方在 60 日内免费提供。</w:t>
      </w:r>
    </w:p>
    <w:p>
      <w:pPr>
        <w:spacing w:before="120" w:after="120"/>
        <w:jc w:val="left"/>
      </w:pPr>
      <w:r>
        <w:rPr>
          <w:rFonts w:ascii="SimSun" w:hAnsi="SimSun" w:eastAsia="SimSun"/>
          <w:b/>
          <w:sz w:val="24"/>
        </w:rPr>
        <w:t>第十二条 知识产权</w:t>
      </w:r>
    </w:p>
    <w:p>
      <w:pPr>
        <w:spacing w:line="360" w:lineRule="auto"/>
        <w:ind w:firstLine="420"/>
      </w:pPr>
      <w:r>
        <w:rPr>
          <w:rFonts w:ascii="SimSun" w:hAnsi="SimSun" w:eastAsia="SimSun"/>
          <w:b w:val="0"/>
          <w:sz w:val="22"/>
        </w:rPr>
        <w:t>乙方拥有 AI 引擎全部知识产权（源代码、算法、模型权重、架构设计、联邦学习框架）。合作期内乙方授予甲方对本项目 AI 引擎前端可视化界面（含 3D 数字孪生大屏、能源监控看板）的非独占使用权；合作终止后该使用权自动终止。甲方不得反编译、复制、迁移或转让乙方核心算法、模型权重及配置文件。</w:t>
      </w:r>
    </w:p>
    <w:p>
      <w:pPr>
        <w:spacing w:before="120" w:after="120"/>
        <w:jc w:val="left"/>
      </w:pPr>
      <w:r>
        <w:rPr>
          <w:rFonts w:ascii="SimSun" w:hAnsi="SimSun" w:eastAsia="SimSun"/>
          <w:b/>
          <w:sz w:val="24"/>
        </w:rPr>
        <w:t>第十三条 碳排放资产</w:t>
      </w:r>
    </w:p>
    <w:p>
      <w:pPr>
        <w:spacing w:line="360" w:lineRule="auto"/>
        <w:ind w:firstLine="420"/>
      </w:pPr>
      <w:r>
        <w:rPr>
          <w:rFonts w:ascii="SimSun" w:hAnsi="SimSun" w:eastAsia="SimSun"/>
          <w:b w:val="0"/>
          <w:sz w:val="22"/>
        </w:rPr>
        <w:t>本项目运行期间产生的全部节能量及对应的、依法依规可认定的碳减排量（含可能产生的 CCER、地方碳配额、绿证）权属归乙方。甲方有自身履约需求的，可与乙方另行协商以优于市场价的优惠价格优先购买本项目产生的碳资产。截至签约日，CCER 方法学清单尚不包含暖通空调系统节能改造类项目，本合同不构成乙方对碳资产可申报性、可变现性的任何保证。</w:t>
      </w:r>
    </w:p>
    <w:p>
      <w:pPr>
        <w:spacing w:before="240" w:after="120"/>
        <w:jc w:val="left"/>
      </w:pPr>
      <w:r>
        <w:rPr>
          <w:rFonts w:ascii="SimSun" w:hAnsi="SimSun" w:eastAsia="SimSun"/>
          <w:b/>
          <w:sz w:val="28"/>
        </w:rPr>
        <w:t>第六章 效果保证与责任</w:t>
      </w:r>
    </w:p>
    <w:p>
      <w:pPr>
        <w:spacing w:before="120" w:after="120"/>
        <w:jc w:val="left"/>
      </w:pPr>
      <w:r>
        <w:rPr>
          <w:rFonts w:ascii="SimSun" w:hAnsi="SimSun" w:eastAsia="SimSun"/>
          <w:b/>
          <w:sz w:val="24"/>
        </w:rPr>
        <w:t>第十四条 效果保证（启停控制权）</w:t>
      </w:r>
    </w:p>
    <w:p>
      <w:pPr>
        <w:spacing w:line="360" w:lineRule="auto"/>
        <w:ind w:firstLine="420"/>
      </w:pPr>
      <w:r>
        <w:rPr>
          <w:rFonts w:ascii="SimSun" w:hAnsi="SimSun" w:eastAsia="SimSun"/>
          <w:b w:val="0"/>
          <w:sz w:val="22"/>
        </w:rPr>
        <w:t>1. 甲方对效果不满意时，可通过平台按钮、邮件或书面通知随时关停 AI 策略，无需提供理由；乙方在收到后 24 小时内执行关停并书面回复确认。</w:t>
      </w:r>
    </w:p>
    <w:p>
      <w:pPr>
        <w:spacing w:line="360" w:lineRule="auto"/>
        <w:ind w:firstLine="420"/>
      </w:pPr>
      <w:r>
        <w:rPr>
          <w:rFonts w:ascii="SimSun" w:hAnsi="SimSun" w:eastAsia="SimSun"/>
          <w:b w:val="0"/>
          <w:sz w:val="22"/>
        </w:rPr>
        <w:t>2. 关停期间控制权回退至甲方原有控制系统，乙方仅保留远程监测与计量数据采集；关停期间不产生分成、不计入违约、不延长合作期；启停记录由平台自动留存。</w:t>
      </w:r>
    </w:p>
    <w:p>
      <w:pPr>
        <w:spacing w:line="360" w:lineRule="auto"/>
        <w:ind w:firstLine="420"/>
      </w:pPr>
      <w:r>
        <w:rPr>
          <w:rFonts w:ascii="SimSun" w:hAnsi="SimSun" w:eastAsia="SimSun"/>
          <w:b w:val="0"/>
          <w:sz w:val="22"/>
        </w:rPr>
        <w:t>3. 因下列情形导致 SCOP 改善幅度未达预期的，相应风险由甲方承担：（一）甲方未按平台公示的运行规范使用系统；（二）设备老化、故障或损坏超出 AI 系统控制范围且未及时维修；（三）极端天气（连续 15 日以上室外温度超过设计工况 ±5℃）；（四）甲方拒绝合理维护、检修或部件更换；（五）电网电压波动、水源水质变化等非乙方原因。</w:t>
      </w:r>
    </w:p>
    <w:p>
      <w:pPr>
        <w:spacing w:before="120" w:after="120"/>
        <w:jc w:val="left"/>
      </w:pPr>
      <w:r>
        <w:rPr>
          <w:rFonts w:ascii="SimSun" w:hAnsi="SimSun" w:eastAsia="SimSun"/>
          <w:b/>
          <w:sz w:val="24"/>
        </w:rPr>
        <w:t>第十五条 安全保障与有限责任</w:t>
      </w:r>
    </w:p>
    <w:p>
      <w:pPr>
        <w:spacing w:line="360" w:lineRule="auto"/>
        <w:ind w:firstLine="420"/>
      </w:pPr>
      <w:r>
        <w:rPr>
          <w:rFonts w:ascii="SimSun" w:hAnsi="SimSun" w:eastAsia="SimSun"/>
          <w:b w:val="0"/>
          <w:sz w:val="22"/>
        </w:rPr>
        <w:t>1. 乙方安装的设备不改变甲方原有系统的物理连接和控制逻辑；AI 策略调整内置多层安全约束，确保在任何工况下均守住设备安全底线、不引发原有设备的物理损坏。</w:t>
      </w:r>
    </w:p>
    <w:p>
      <w:pPr>
        <w:spacing w:line="360" w:lineRule="auto"/>
        <w:ind w:firstLine="420"/>
      </w:pPr>
      <w:r>
        <w:rPr>
          <w:rFonts w:ascii="SimSun" w:hAnsi="SimSun" w:eastAsia="SimSun"/>
          <w:b w:val="0"/>
          <w:sz w:val="22"/>
        </w:rPr>
        <w:t>2. 因乙方 AI 策略的重大过失（须经具备资质的第三方机构出具技术鉴定）直接导致甲方原有设备物理损坏的，乙方按实际损害对甲方承担直接修复或重置费用，不含间接损失、营业损失、商誉损失或预期收益。</w:t>
      </w:r>
    </w:p>
    <w:p>
      <w:pPr>
        <w:spacing w:line="360" w:lineRule="auto"/>
        <w:ind w:firstLine="420"/>
      </w:pPr>
      <w:r>
        <w:rPr>
          <w:rFonts w:ascii="SimSun" w:hAnsi="SimSun" w:eastAsia="SimSun"/>
          <w:b w:val="0"/>
          <w:sz w:val="22"/>
        </w:rPr>
        <w:t>3. 乙方在本合同项下的总赔偿额（含一切赔偿、补偿、违约金）以该项目截至索赔事件发生之日累计实际收取分成总额的 100% 为上限；合作不满 12 个月的，以附件 A 所列项目商业模型测算的预期年度分成为上限。</w:t>
      </w:r>
    </w:p>
    <w:p>
      <w:pPr>
        <w:spacing w:before="120" w:after="120"/>
        <w:jc w:val="left"/>
      </w:pPr>
      <w:r>
        <w:rPr>
          <w:rFonts w:ascii="SimSun" w:hAnsi="SimSun" w:eastAsia="SimSun"/>
          <w:b/>
          <w:sz w:val="24"/>
        </w:rPr>
        <w:t>第十六条 一般违约</w:t>
      </w:r>
    </w:p>
    <w:p>
      <w:pPr>
        <w:spacing w:line="360" w:lineRule="auto"/>
        <w:ind w:firstLine="420"/>
      </w:pPr>
      <w:r>
        <w:rPr>
          <w:rFonts w:ascii="SimSun" w:hAnsi="SimSun" w:eastAsia="SimSun"/>
          <w:b w:val="0"/>
          <w:sz w:val="22"/>
        </w:rPr>
        <w:t>1. 甲方逾期支付的，按日万分之五计收违约金；擅自拆除设备的，承担设备修复或重置费用。</w:t>
      </w:r>
    </w:p>
    <w:p>
      <w:pPr>
        <w:spacing w:line="360" w:lineRule="auto"/>
        <w:ind w:firstLine="420"/>
      </w:pPr>
      <w:r>
        <w:rPr>
          <w:rFonts w:ascii="SimSun" w:hAnsi="SimSun" w:eastAsia="SimSun"/>
          <w:b w:val="0"/>
          <w:sz w:val="22"/>
        </w:rPr>
        <w:t>2. 乙方计量设备未按法定周期检定的，检定空档期内的节能量按 0% 计算（不产生分成），视为对该期间的违约救济，乙方对此不再承担其他责任。</w:t>
      </w:r>
    </w:p>
    <w:p>
      <w:pPr>
        <w:spacing w:before="240" w:after="120"/>
        <w:jc w:val="left"/>
      </w:pPr>
      <w:r>
        <w:rPr>
          <w:rFonts w:ascii="SimSun" w:hAnsi="SimSun" w:eastAsia="SimSun"/>
          <w:b/>
          <w:sz w:val="28"/>
        </w:rPr>
        <w:t>第七章 终止与争议</w:t>
      </w:r>
    </w:p>
    <w:p>
      <w:pPr>
        <w:spacing w:before="120" w:after="120"/>
        <w:jc w:val="left"/>
      </w:pPr>
      <w:r>
        <w:rPr>
          <w:rFonts w:ascii="SimSun" w:hAnsi="SimSun" w:eastAsia="SimSun"/>
          <w:b/>
          <w:sz w:val="24"/>
        </w:rPr>
        <w:t>第十七条 提前终止与设备处置</w:t>
      </w:r>
    </w:p>
    <w:p>
      <w:pPr>
        <w:spacing w:line="360" w:lineRule="auto"/>
        <w:ind w:firstLine="420"/>
      </w:pPr>
      <w:r>
        <w:rPr>
          <w:rFonts w:ascii="SimSun" w:hAnsi="SimSun" w:eastAsia="SimSun"/>
          <w:b w:val="0"/>
          <w:sz w:val="22"/>
        </w:rPr>
        <w:t>1. 最低合作期内甲方主动解除合作框架（撤除设备）的，须提前 90 日书面通知，并按下列阶梯支付补偿：</w:t>
      </w:r>
    </w:p>
    <w:tbl>
      <w:tblPr>
        <w:tblStyle w:val="LightGrid-Accent1"/>
        <w:tblW w:type="auto" w:w="0"/>
        <w:tblLook w:firstColumn="1" w:firstRow="1" w:lastColumn="0" w:lastRow="0" w:noHBand="0" w:noVBand="1" w:val="04A0"/>
      </w:tblPr>
      <w:tblGrid>
        <w:gridCol w:w="2351"/>
        <w:gridCol w:w="2351"/>
        <w:gridCol w:w="2351"/>
        <w:gridCol w:w="2351"/>
      </w:tblGrid>
      <w:tr>
        <w:tc>
          <w:tcPr>
            <w:tcW w:type="dxa" w:w="2268"/>
          </w:tcPr>
          <w:p>
            <w:r/>
            <w:r>
              <w:rPr>
                <w:rFonts w:ascii="SimSun" w:hAnsi="SimSun" w:eastAsia="SimSun"/>
                <w:b/>
                <w:sz w:val="20"/>
              </w:rPr>
              <w:t>已合作年限</w:t>
            </w:r>
          </w:p>
        </w:tc>
        <w:tc>
          <w:tcPr>
            <w:tcW w:type="dxa" w:w="1984"/>
          </w:tcPr>
          <w:p>
            <w:r/>
            <w:r>
              <w:rPr>
                <w:rFonts w:ascii="SimSun" w:hAnsi="SimSun" w:eastAsia="SimSun"/>
                <w:b/>
                <w:sz w:val="20"/>
              </w:rPr>
              <w:t>设备成本补偿</w:t>
            </w:r>
          </w:p>
        </w:tc>
        <w:tc>
          <w:tcPr>
            <w:tcW w:type="dxa" w:w="2268"/>
          </w:tcPr>
          <w:p>
            <w:r/>
            <w:r>
              <w:rPr>
                <w:rFonts w:ascii="SimSun" w:hAnsi="SimSun" w:eastAsia="SimSun"/>
                <w:b/>
                <w:sz w:val="20"/>
              </w:rPr>
              <w:t>已分成收益补偿</w:t>
            </w:r>
          </w:p>
        </w:tc>
        <w:tc>
          <w:tcPr>
            <w:tcW w:type="dxa" w:w="1701"/>
          </w:tcPr>
          <w:p>
            <w:r/>
            <w:r>
              <w:rPr>
                <w:rFonts w:ascii="SimSun" w:hAnsi="SimSun" w:eastAsia="SimSun"/>
                <w:b/>
                <w:sz w:val="20"/>
              </w:rPr>
              <w:t>部署服务费</w:t>
            </w:r>
          </w:p>
        </w:tc>
      </w:tr>
      <w:tr>
        <w:tc>
          <w:tcPr>
            <w:tcW w:type="dxa" w:w="2268"/>
          </w:tcPr>
          <w:p>
            <w:r/>
            <w:r>
              <w:rPr>
                <w:rFonts w:ascii="SimSun" w:hAnsi="SimSun" w:eastAsia="SimSun"/>
                <w:b w:val="0"/>
                <w:sz w:val="20"/>
              </w:rPr>
              <w:t>未满 1 年</w:t>
            </w:r>
          </w:p>
        </w:tc>
        <w:tc>
          <w:tcPr>
            <w:tcW w:type="dxa" w:w="1984"/>
          </w:tcPr>
          <w:p>
            <w:r/>
            <w:r>
              <w:rPr>
                <w:rFonts w:ascii="SimSun" w:hAnsi="SimSun" w:eastAsia="SimSun"/>
                <w:b w:val="0"/>
                <w:sz w:val="20"/>
              </w:rPr>
              <w:t>100%</w:t>
            </w:r>
          </w:p>
        </w:tc>
        <w:tc>
          <w:tcPr>
            <w:tcW w:type="dxa" w:w="2268"/>
          </w:tcPr>
          <w:p>
            <w:r/>
            <w:r>
              <w:rPr>
                <w:rFonts w:ascii="SimSun" w:hAnsi="SimSun" w:eastAsia="SimSun"/>
                <w:b w:val="0"/>
                <w:sz w:val="20"/>
              </w:rPr>
              <w:t>50%</w:t>
            </w:r>
          </w:p>
        </w:tc>
        <w:tc>
          <w:tcPr>
            <w:tcW w:type="dxa" w:w="1701"/>
          </w:tcPr>
          <w:p>
            <w:r/>
            <w:r>
              <w:rPr>
                <w:rFonts w:ascii="SimSun" w:hAnsi="SimSun" w:eastAsia="SimSun"/>
                <w:b w:val="0"/>
                <w:sz w:val="20"/>
              </w:rPr>
              <w:t>全额</w:t>
            </w:r>
          </w:p>
        </w:tc>
      </w:tr>
      <w:tr>
        <w:tc>
          <w:tcPr>
            <w:tcW w:type="dxa" w:w="2268"/>
          </w:tcPr>
          <w:p>
            <w:r/>
            <w:r>
              <w:rPr>
                <w:rFonts w:ascii="SimSun" w:hAnsi="SimSun" w:eastAsia="SimSun"/>
                <w:b w:val="0"/>
                <w:sz w:val="20"/>
              </w:rPr>
              <w:t>满 1 年未满 2 年</w:t>
            </w:r>
          </w:p>
        </w:tc>
        <w:tc>
          <w:tcPr>
            <w:tcW w:type="dxa" w:w="1984"/>
          </w:tcPr>
          <w:p>
            <w:r/>
            <w:r>
              <w:rPr>
                <w:rFonts w:ascii="SimSun" w:hAnsi="SimSun" w:eastAsia="SimSun"/>
                <w:b w:val="0"/>
                <w:sz w:val="20"/>
              </w:rPr>
              <w:t>80%</w:t>
            </w:r>
          </w:p>
        </w:tc>
        <w:tc>
          <w:tcPr>
            <w:tcW w:type="dxa" w:w="2268"/>
          </w:tcPr>
          <w:p>
            <w:r/>
            <w:r>
              <w:rPr>
                <w:rFonts w:ascii="SimSun" w:hAnsi="SimSun" w:eastAsia="SimSun"/>
                <w:b w:val="0"/>
                <w:sz w:val="20"/>
              </w:rPr>
              <w:t>40%</w:t>
            </w:r>
          </w:p>
        </w:tc>
        <w:tc>
          <w:tcPr>
            <w:tcW w:type="dxa" w:w="1701"/>
          </w:tcPr>
          <w:p>
            <w:r/>
            <w:r>
              <w:rPr>
                <w:rFonts w:ascii="SimSun" w:hAnsi="SimSun" w:eastAsia="SimSun"/>
                <w:b w:val="0"/>
                <w:sz w:val="20"/>
              </w:rPr>
              <w:t>—</w:t>
            </w:r>
          </w:p>
        </w:tc>
      </w:tr>
      <w:tr>
        <w:tc>
          <w:tcPr>
            <w:tcW w:type="dxa" w:w="2268"/>
          </w:tcPr>
          <w:p>
            <w:r/>
            <w:r>
              <w:rPr>
                <w:rFonts w:ascii="SimSun" w:hAnsi="SimSun" w:eastAsia="SimSun"/>
                <w:b w:val="0"/>
                <w:sz w:val="20"/>
              </w:rPr>
              <w:t>满 2 年未满 3 年</w:t>
            </w:r>
          </w:p>
        </w:tc>
        <w:tc>
          <w:tcPr>
            <w:tcW w:type="dxa" w:w="1984"/>
          </w:tcPr>
          <w:p>
            <w:r/>
            <w:r>
              <w:rPr>
                <w:rFonts w:ascii="SimSun" w:hAnsi="SimSun" w:eastAsia="SimSun"/>
                <w:b w:val="0"/>
                <w:sz w:val="20"/>
              </w:rPr>
              <w:t>60%</w:t>
            </w:r>
          </w:p>
        </w:tc>
        <w:tc>
          <w:tcPr>
            <w:tcW w:type="dxa" w:w="2268"/>
          </w:tcPr>
          <w:p>
            <w:r/>
            <w:r>
              <w:rPr>
                <w:rFonts w:ascii="SimSun" w:hAnsi="SimSun" w:eastAsia="SimSun"/>
                <w:b w:val="0"/>
                <w:sz w:val="20"/>
              </w:rPr>
              <w:t>30%</w:t>
            </w:r>
          </w:p>
        </w:tc>
        <w:tc>
          <w:tcPr>
            <w:tcW w:type="dxa" w:w="1701"/>
          </w:tcPr>
          <w:p>
            <w:r/>
            <w:r>
              <w:rPr>
                <w:rFonts w:ascii="SimSun" w:hAnsi="SimSun" w:eastAsia="SimSun"/>
                <w:b w:val="0"/>
                <w:sz w:val="20"/>
              </w:rPr>
              <w:t>—</w:t>
            </w:r>
          </w:p>
        </w:tc>
      </w:tr>
      <w:tr>
        <w:tc>
          <w:tcPr>
            <w:tcW w:type="dxa" w:w="2268"/>
          </w:tcPr>
          <w:p>
            <w:r/>
            <w:r>
              <w:rPr>
                <w:rFonts w:ascii="SimSun" w:hAnsi="SimSun" w:eastAsia="SimSun"/>
                <w:b w:val="0"/>
                <w:sz w:val="20"/>
              </w:rPr>
              <w:t>满 3 年未满 4 年</w:t>
            </w:r>
          </w:p>
        </w:tc>
        <w:tc>
          <w:tcPr>
            <w:tcW w:type="dxa" w:w="1984"/>
          </w:tcPr>
          <w:p>
            <w:r/>
            <w:r>
              <w:rPr>
                <w:rFonts w:ascii="SimSun" w:hAnsi="SimSun" w:eastAsia="SimSun"/>
                <w:b w:val="0"/>
                <w:sz w:val="20"/>
              </w:rPr>
              <w:t>40%</w:t>
            </w:r>
          </w:p>
        </w:tc>
        <w:tc>
          <w:tcPr>
            <w:tcW w:type="dxa" w:w="2268"/>
          </w:tcPr>
          <w:p>
            <w:r/>
            <w:r>
              <w:rPr>
                <w:rFonts w:ascii="SimSun" w:hAnsi="SimSun" w:eastAsia="SimSun"/>
                <w:b w:val="0"/>
                <w:sz w:val="20"/>
              </w:rPr>
              <w:t>20%</w:t>
            </w:r>
          </w:p>
        </w:tc>
        <w:tc>
          <w:tcPr>
            <w:tcW w:type="dxa" w:w="1701"/>
          </w:tcPr>
          <w:p>
            <w:r/>
            <w:r>
              <w:rPr>
                <w:rFonts w:ascii="SimSun" w:hAnsi="SimSun" w:eastAsia="SimSun"/>
                <w:b w:val="0"/>
                <w:sz w:val="20"/>
              </w:rPr>
              <w:t>—</w:t>
            </w:r>
          </w:p>
        </w:tc>
      </w:tr>
      <w:tr>
        <w:tc>
          <w:tcPr>
            <w:tcW w:type="dxa" w:w="2268"/>
          </w:tcPr>
          <w:p>
            <w:r/>
            <w:r>
              <w:rPr>
                <w:rFonts w:ascii="SimSun" w:hAnsi="SimSun" w:eastAsia="SimSun"/>
                <w:b w:val="0"/>
                <w:sz w:val="20"/>
              </w:rPr>
              <w:t>满 4 年未满 5 年</w:t>
            </w:r>
          </w:p>
        </w:tc>
        <w:tc>
          <w:tcPr>
            <w:tcW w:type="dxa" w:w="1984"/>
          </w:tcPr>
          <w:p>
            <w:r/>
            <w:r>
              <w:rPr>
                <w:rFonts w:ascii="SimSun" w:hAnsi="SimSun" w:eastAsia="SimSun"/>
                <w:b w:val="0"/>
                <w:sz w:val="20"/>
              </w:rPr>
              <w:t>20%</w:t>
            </w:r>
          </w:p>
        </w:tc>
        <w:tc>
          <w:tcPr>
            <w:tcW w:type="dxa" w:w="2268"/>
          </w:tcPr>
          <w:p>
            <w:r/>
            <w:r>
              <w:rPr>
                <w:rFonts w:ascii="SimSun" w:hAnsi="SimSun" w:eastAsia="SimSun"/>
                <w:b w:val="0"/>
                <w:sz w:val="20"/>
              </w:rPr>
              <w:t>10%</w:t>
            </w:r>
          </w:p>
        </w:tc>
        <w:tc>
          <w:tcPr>
            <w:tcW w:type="dxa" w:w="1701"/>
          </w:tcPr>
          <w:p>
            <w:r/>
            <w:r>
              <w:rPr>
                <w:rFonts w:ascii="SimSun" w:hAnsi="SimSun" w:eastAsia="SimSun"/>
                <w:b w:val="0"/>
                <w:sz w:val="20"/>
              </w:rPr>
              <w:t>—</w:t>
            </w:r>
          </w:p>
        </w:tc>
      </w:tr>
    </w:tbl>
    <w:p>
      <w:pPr>
        <w:spacing w:line="360" w:lineRule="auto"/>
        <w:ind w:firstLine="420"/>
      </w:pPr>
      <w:r>
        <w:rPr>
          <w:rFonts w:ascii="SimSun" w:hAnsi="SimSun" w:eastAsia="SimSun"/>
          <w:b w:val="0"/>
          <w:sz w:val="22"/>
        </w:rPr>
        <w:t>【口径】"已投入设备成本"以平台备案的设备清单采购价合计为准；"已分成收益"指截至终止日乙方实际收取的全部分成（不含税）。</w:t>
      </w:r>
    </w:p>
    <w:p>
      <w:pPr>
        <w:spacing w:line="360" w:lineRule="auto"/>
        <w:ind w:firstLine="420"/>
      </w:pPr>
      <w:r>
        <w:rPr>
          <w:rFonts w:ascii="SimSun" w:hAnsi="SimSun" w:eastAsia="SimSun"/>
          <w:b w:val="0"/>
          <w:sz w:val="22"/>
        </w:rPr>
        <w:t>2. 最低合作期满后甲方提前终止的，提前 90 日书面通知即可，无须支付补偿。</w:t>
      </w:r>
    </w:p>
    <w:p>
      <w:pPr>
        <w:spacing w:line="360" w:lineRule="auto"/>
        <w:ind w:firstLine="420"/>
      </w:pPr>
      <w:r>
        <w:rPr>
          <w:rFonts w:ascii="SimSun" w:hAnsi="SimSun" w:eastAsia="SimSun"/>
          <w:b w:val="0"/>
          <w:sz w:val="22"/>
        </w:rPr>
        <w:t>3. 合作终止后乙方有权在 30 日内拆除全部由其投资安装的设备，并恢复物理连接条件至安装前状态。</w:t>
      </w:r>
    </w:p>
    <w:p>
      <w:pPr>
        <w:spacing w:line="360" w:lineRule="auto"/>
        <w:ind w:firstLine="420"/>
      </w:pPr>
      <w:r>
        <w:rPr>
          <w:rFonts w:ascii="SimSun" w:hAnsi="SimSun" w:eastAsia="SimSun"/>
          <w:b w:val="0"/>
          <w:sz w:val="22"/>
        </w:rPr>
        <w:t>4. 乙方非因甲方违约提前终止的，赔偿甲方"前 N 个月平均月度节能收益（N 取已实际产生分成月数与 12 中较小者）× 剩余最低合作期月数 × 50%"。</w:t>
      </w:r>
    </w:p>
    <w:p>
      <w:pPr>
        <w:spacing w:line="360" w:lineRule="auto"/>
        <w:ind w:firstLine="420"/>
      </w:pPr>
      <w:r>
        <w:rPr>
          <w:rFonts w:ascii="SimSun" w:hAnsi="SimSun" w:eastAsia="SimSun"/>
          <w:b w:val="0"/>
          <w:sz w:val="22"/>
        </w:rPr>
        <w:t>5. 因甲方严重违约（含但不限于：逾期支付超 60 日、擅自拆除计量设备、拒绝配合审计、阻碍 AI 运维）：乙方有权立即终止合同，无须赔偿，并立即拆除设备。</w:t>
      </w:r>
    </w:p>
    <w:p>
      <w:pPr>
        <w:spacing w:before="120" w:after="120"/>
        <w:jc w:val="left"/>
      </w:pPr>
      <w:r>
        <w:rPr>
          <w:rFonts w:ascii="SimSun" w:hAnsi="SimSun" w:eastAsia="SimSun"/>
          <w:b/>
          <w:sz w:val="24"/>
        </w:rPr>
        <w:t>第十八条 不可抗力与政策变化</w:t>
      </w:r>
    </w:p>
    <w:p>
      <w:pPr>
        <w:spacing w:line="360" w:lineRule="auto"/>
        <w:ind w:firstLine="420"/>
      </w:pPr>
      <w:r>
        <w:rPr>
          <w:rFonts w:ascii="SimSun" w:hAnsi="SimSun" w:eastAsia="SimSun"/>
          <w:b w:val="0"/>
          <w:sz w:val="22"/>
        </w:rPr>
        <w:t>1. 因不可抗力（含战争、自然灾害、流行病、政府强制停业等）一方不能履行合同的，应在 15 日内书面通知对方并提供有效证明，免除受影响一方因不可抗力导致的违约责任；不可抗力持续超过 90 日的，任一方有权书面通知终止合同，互不承担违约责任，已投入设备由乙方拆除回收。</w:t>
      </w:r>
    </w:p>
    <w:p>
      <w:pPr>
        <w:spacing w:line="360" w:lineRule="auto"/>
        <w:ind w:firstLine="420"/>
      </w:pPr>
      <w:r>
        <w:rPr>
          <w:rFonts w:ascii="SimSun" w:hAnsi="SimSun" w:eastAsia="SimSun"/>
          <w:b w:val="0"/>
          <w:sz w:val="22"/>
        </w:rPr>
        <w:t>2. 法律法规、国家标准、计量检定规程或税收政策的重大变化，导致本合同部分条款无法执行或显失公平的，双方应基于诚信原则在 30 日内协商调整；协商不成的，以变更后的法律法规为准重新约定相应条款，其他条款继续有效。</w:t>
      </w:r>
    </w:p>
    <w:p>
      <w:pPr>
        <w:spacing w:line="360" w:lineRule="auto"/>
        <w:ind w:firstLine="420"/>
      </w:pPr>
      <w:r>
        <w:rPr>
          <w:rFonts w:ascii="SimSun" w:hAnsi="SimSun" w:eastAsia="SimSun"/>
          <w:b w:val="0"/>
          <w:sz w:val="22"/>
        </w:rPr>
        <w:t>3. 任何一方均不因前述事项对另一方主张赔偿。</w:t>
      </w:r>
    </w:p>
    <w:p>
      <w:pPr>
        <w:spacing w:before="120" w:after="120"/>
        <w:jc w:val="left"/>
      </w:pPr>
      <w:r>
        <w:rPr>
          <w:rFonts w:ascii="SimSun" w:hAnsi="SimSun" w:eastAsia="SimSun"/>
          <w:b/>
          <w:sz w:val="24"/>
        </w:rPr>
        <w:t>第十九条 争议解决</w:t>
      </w:r>
    </w:p>
    <w:p>
      <w:pPr>
        <w:spacing w:line="360" w:lineRule="auto"/>
        <w:ind w:firstLine="420"/>
      </w:pPr>
      <w:r>
        <w:rPr>
          <w:rFonts w:ascii="SimSun" w:hAnsi="SimSun" w:eastAsia="SimSun"/>
          <w:b w:val="0"/>
          <w:sz w:val="22"/>
        </w:rPr>
        <w:t>1. 因本合同引起的争议，双方应首先通过友好协商解决。对节能量数据有异议的，可按第八条委托第三方机构核证；对计量设备本身有异议的，共同委托法定计量检定机构对计量设备进行检定，以检定结果为准。</w:t>
      </w:r>
    </w:p>
    <w:p>
      <w:pPr>
        <w:spacing w:line="360" w:lineRule="auto"/>
        <w:ind w:firstLine="420"/>
      </w:pPr>
      <w:r>
        <w:rPr>
          <w:rFonts w:ascii="SimSun" w:hAnsi="SimSun" w:eastAsia="SimSun"/>
          <w:b w:val="0"/>
          <w:sz w:val="22"/>
        </w:rPr>
        <w:t>2. 协商不成的，由乙方所在地（北京市朝阳区）有管辖权的人民法院诉讼解决。</w:t>
      </w:r>
    </w:p>
    <w:p>
      <w:pPr>
        <w:spacing w:line="360" w:lineRule="auto"/>
        <w:ind w:firstLine="420"/>
      </w:pPr>
      <w:r>
        <w:rPr>
          <w:rFonts w:ascii="SimSun" w:hAnsi="SimSun" w:eastAsia="SimSun"/>
          <w:b w:val="0"/>
          <w:sz w:val="22"/>
        </w:rPr>
        <w:t>3. 争议解决期间，双方继续履行本合同中不影响争议解决的其他条款。</w:t>
      </w:r>
    </w:p>
    <w:p>
      <w:pPr>
        <w:spacing w:before="240" w:after="120"/>
        <w:jc w:val="left"/>
      </w:pPr>
      <w:r>
        <w:rPr>
          <w:rFonts w:ascii="SimSun" w:hAnsi="SimSun" w:eastAsia="SimSun"/>
          <w:b/>
          <w:sz w:val="28"/>
        </w:rPr>
        <w:t>第八章 附则</w:t>
      </w:r>
    </w:p>
    <w:p>
      <w:pPr>
        <w:spacing w:before="120" w:after="120"/>
        <w:jc w:val="left"/>
      </w:pPr>
      <w:r>
        <w:rPr>
          <w:rFonts w:ascii="SimSun" w:hAnsi="SimSun" w:eastAsia="SimSun"/>
          <w:b/>
          <w:sz w:val="24"/>
        </w:rPr>
        <w:t>第二十条 廉洁合规与反商业贿赂</w:t>
      </w:r>
    </w:p>
    <w:p>
      <w:pPr>
        <w:spacing w:line="360" w:lineRule="auto"/>
        <w:ind w:firstLine="420"/>
      </w:pPr>
      <w:r>
        <w:rPr>
          <w:rFonts w:ascii="SimSun" w:hAnsi="SimSun" w:eastAsia="SimSun"/>
          <w:b w:val="0"/>
          <w:sz w:val="22"/>
        </w:rPr>
        <w:t>1. 双方共同遵守《中华人民共和国反不正当竞争法》《关于禁止商业贿赂行为的暂行规定》等相关法律法规，禁止任何形式的商业贿赂、回扣、礼品馈赠、利益输送或其他不正当利益交换。</w:t>
      </w:r>
    </w:p>
    <w:p>
      <w:pPr>
        <w:spacing w:line="360" w:lineRule="auto"/>
        <w:ind w:firstLine="420"/>
      </w:pPr>
      <w:r>
        <w:rPr>
          <w:rFonts w:ascii="SimSun" w:hAnsi="SimSun" w:eastAsia="SimSun"/>
          <w:b w:val="0"/>
          <w:sz w:val="22"/>
        </w:rPr>
        <w:t>2. 双方各自的工作人员不得以任何形式向对方人员索取或接受财物、有价证券、宴请、旅游、消费卡券、第三方付款等可能影响公正履职的利益；一方发现对方人员存在上述行为的，有权向对方监察部门投诉举报，对方应及时调查处理并书面反馈。</w:t>
      </w:r>
    </w:p>
    <w:p>
      <w:pPr>
        <w:spacing w:line="360" w:lineRule="auto"/>
        <w:ind w:firstLine="420"/>
      </w:pPr>
      <w:r>
        <w:rPr>
          <w:rFonts w:ascii="SimSun" w:hAnsi="SimSun" w:eastAsia="SimSun"/>
          <w:b w:val="0"/>
          <w:sz w:val="22"/>
        </w:rPr>
        <w:t>3. 因一方违反本条规定造成对方损失的，违约方承担全部赔偿责任；情节严重的，守约方有权立即解除合同，违约方按本合同第十七条第 5 款承担违约责任。</w:t>
      </w:r>
    </w:p>
    <w:p>
      <w:pPr>
        <w:spacing w:line="360" w:lineRule="auto"/>
        <w:ind w:firstLine="420"/>
      </w:pPr>
      <w:r>
        <w:rPr>
          <w:rFonts w:ascii="SimSun" w:hAnsi="SimSun" w:eastAsia="SimSun"/>
          <w:b w:val="0"/>
          <w:sz w:val="22"/>
        </w:rPr>
        <w:t>4. 乙方承诺：合作期内严格遵守甲方廉洁从业、纪检监察、审计监督的相关制度，主动接受甲方依法依规的监督检查。</w:t>
      </w:r>
    </w:p>
    <w:p>
      <w:pPr>
        <w:spacing w:before="120" w:after="120"/>
        <w:jc w:val="left"/>
      </w:pPr>
      <w:r>
        <w:rPr>
          <w:rFonts w:ascii="SimSun" w:hAnsi="SimSun" w:eastAsia="SimSun"/>
          <w:b/>
          <w:sz w:val="24"/>
        </w:rPr>
        <w:t>第二十一条 数据安全与保密</w:t>
      </w:r>
    </w:p>
    <w:p>
      <w:pPr>
        <w:spacing w:line="360" w:lineRule="auto"/>
        <w:ind w:firstLine="420"/>
      </w:pPr>
      <w:r>
        <w:rPr>
          <w:rFonts w:ascii="SimSun" w:hAnsi="SimSun" w:eastAsia="SimSun"/>
          <w:b w:val="0"/>
          <w:sz w:val="22"/>
        </w:rPr>
        <w:t>1. 双方按《中华人民共和国数据安全法》《中华人民共和国个人信息保护法》及国家网络安全等级保护制度履行各自数据处理者义务；本项目数据传输全程采用 TLS 1.2 及以上加密，全部数据境内存储。</w:t>
      </w:r>
    </w:p>
    <w:p>
      <w:pPr>
        <w:spacing w:line="360" w:lineRule="auto"/>
        <w:ind w:firstLine="420"/>
      </w:pPr>
      <w:r>
        <w:rPr>
          <w:rFonts w:ascii="SimSun" w:hAnsi="SimSun" w:eastAsia="SimSun"/>
          <w:b w:val="0"/>
          <w:sz w:val="22"/>
        </w:rPr>
        <w:t>2. 乙方平台具备相应等级的网络安全等级保护备案能力；在涉及国家秘密、商业秘密的项目中，可应甲方要求采用商用密码（国密）算法。</w:t>
      </w:r>
    </w:p>
    <w:p>
      <w:pPr>
        <w:spacing w:line="360" w:lineRule="auto"/>
        <w:ind w:firstLine="420"/>
      </w:pPr>
      <w:r>
        <w:rPr>
          <w:rFonts w:ascii="SimSun" w:hAnsi="SimSun" w:eastAsia="SimSun"/>
          <w:b w:val="0"/>
          <w:sz w:val="22"/>
        </w:rPr>
        <w:t>3. 双方对本合同内容、商业数据、技术秘密负有保密义务，保密期限为合作期满后 3 年。披露给己方代理人、审计、税务等专业机构的除外，但应要求其承担同等保密义务。</w:t>
      </w:r>
    </w:p>
    <w:p>
      <w:pPr>
        <w:spacing w:line="360" w:lineRule="auto"/>
        <w:ind w:firstLine="420"/>
      </w:pPr>
      <w:r>
        <w:rPr>
          <w:rFonts w:ascii="SimSun" w:hAnsi="SimSun" w:eastAsia="SimSun"/>
          <w:b w:val="0"/>
          <w:sz w:val="22"/>
        </w:rPr>
        <w:t>4. 如发生数据安全事件，乙方在 24 小时内书面通知甲方，并就直接损失承担赔偿；该项赔偿上限为该项目前 12 个月乙方实际收取分成总额的 50%，且不超过本合同第十五条第 3 款总赔偿上限。</w:t>
      </w:r>
    </w:p>
    <w:p>
      <w:pPr>
        <w:spacing w:before="120" w:after="120"/>
        <w:jc w:val="left"/>
      </w:pPr>
      <w:r>
        <w:rPr>
          <w:rFonts w:ascii="SimSun" w:hAnsi="SimSun" w:eastAsia="SimSun"/>
          <w:b/>
          <w:sz w:val="24"/>
        </w:rPr>
        <w:t>第二十二条 软件平台执行细则</w:t>
      </w:r>
    </w:p>
    <w:p>
      <w:pPr>
        <w:spacing w:line="360" w:lineRule="auto"/>
        <w:ind w:firstLine="420"/>
      </w:pPr>
      <w:r>
        <w:rPr>
          <w:rFonts w:ascii="SimSun" w:hAnsi="SimSun" w:eastAsia="SimSun"/>
          <w:b w:val="0"/>
          <w:sz w:val="22"/>
        </w:rPr>
        <w:t>本合同的下列执行细节由双方通过中适能数字能源平台统一管理：项目设备清单与安装方案、SCOP 基线确认与历史调整记录、月度节能量确认单、年度审计支撑材料、运维记录、启停指令与回复、运行规范手册及培训交接记录。双方在平台上的电子签署或电子确认与书面确认具有同等法律效力，平台留痕作为履约证据。平台访问地址、账号开通、操作手册由乙方在合同生效后 5 个工作日内提供。</w:t>
      </w:r>
    </w:p>
    <w:p>
      <w:pPr>
        <w:spacing w:line="360" w:lineRule="auto"/>
        <w:ind w:firstLine="420"/>
      </w:pPr>
      <w:r>
        <w:rPr>
          <w:rFonts w:ascii="SimSun" w:hAnsi="SimSun" w:eastAsia="SimSun"/>
          <w:b w:val="0"/>
          <w:sz w:val="22"/>
        </w:rPr>
        <w:t>具体技术参数（设备型号/数量、传感器布点、网络拓扑、A/B 类拆分公式细节、运行规范、启停操作步骤等）以平台公示版本为准；前述内容的更新不构成本合同实质变更，但应通过平台向甲方书面公示，甲方在收到公示后 10 个工作日内未提出异议的视为认可。</w:t>
      </w:r>
    </w:p>
    <w:p>
      <w:pPr>
        <w:spacing w:before="120" w:after="120"/>
        <w:jc w:val="left"/>
      </w:pPr>
      <w:r>
        <w:rPr>
          <w:rFonts w:ascii="SimSun" w:hAnsi="SimSun" w:eastAsia="SimSun"/>
          <w:b/>
          <w:sz w:val="24"/>
        </w:rPr>
        <w:t>第二十三条 税收与合同生效</w:t>
      </w:r>
    </w:p>
    <w:p>
      <w:pPr>
        <w:spacing w:line="360" w:lineRule="auto"/>
        <w:ind w:firstLine="420"/>
      </w:pPr>
      <w:r>
        <w:rPr>
          <w:rFonts w:ascii="SimSun" w:hAnsi="SimSun" w:eastAsia="SimSun"/>
          <w:b w:val="0"/>
          <w:sz w:val="22"/>
        </w:rPr>
        <w:t>1. 乙方就本项目可享受的企业所得税"三免三减半"（《企业所得税法》第二十七条及实施条例第八十八条）、节能技术服务免征增值税（财税〔2016〕36 号）等优惠，最终适用以乙方所在地主管税务机关备案审核结果为准。</w:t>
      </w:r>
    </w:p>
    <w:p>
      <w:pPr>
        <w:spacing w:line="360" w:lineRule="auto"/>
        <w:ind w:firstLine="420"/>
      </w:pPr>
      <w:r>
        <w:rPr>
          <w:rFonts w:ascii="SimSun" w:hAnsi="SimSun" w:eastAsia="SimSun"/>
          <w:b w:val="0"/>
          <w:sz w:val="22"/>
        </w:rPr>
        <w:t>2. 甲方支付的节能服务费用可全额在企业所得税前扣除（《企业所得税法》第八条）。</w:t>
      </w:r>
    </w:p>
    <w:p>
      <w:pPr>
        <w:spacing w:line="360" w:lineRule="auto"/>
        <w:ind w:firstLine="420"/>
      </w:pPr>
      <w:r>
        <w:rPr>
          <w:rFonts w:ascii="SimSun" w:hAnsi="SimSun" w:eastAsia="SimSun"/>
          <w:b w:val="0"/>
          <w:sz w:val="22"/>
        </w:rPr>
        <w:t>3. 本合同自双方法定代表人或授权代表签字并加盖公章之日起生效；附件 A《SCOP 基线确认单》为本合同不可分割的组成部分。</w:t>
      </w:r>
    </w:p>
    <w:p>
      <w:pPr>
        <w:spacing w:line="360" w:lineRule="auto"/>
        <w:ind w:firstLine="420"/>
      </w:pPr>
      <w:r>
        <w:rPr>
          <w:rFonts w:ascii="SimSun" w:hAnsi="SimSun" w:eastAsia="SimSun"/>
          <w:b w:val="0"/>
          <w:sz w:val="22"/>
        </w:rPr>
        <w:t>4. 本合同一式肆份，甲乙双方各执贰份，具有同等法律效力。</w:t>
      </w:r>
    </w:p>
    <w:p>
      <w:pPr>
        <w:spacing w:line="360" w:lineRule="auto"/>
        <w:ind w:firstLine="420"/>
      </w:pPr>
      <w:r>
        <w:rPr>
          <w:rFonts w:ascii="SimSun" w:hAnsi="SimSun" w:eastAsia="SimSun"/>
          <w:b w:val="0"/>
          <w:sz w:val="22"/>
        </w:rPr>
        <w:t>5. 本合同未尽事宜由双方另行书面协商；本合同任何条款的变更须经双方书面确认。</w:t>
      </w:r>
    </w:p>
    <w:p>
      <w:r>
        <w:br w:type="page"/>
      </w:r>
    </w:p>
    <w:p>
      <w:pPr>
        <w:spacing w:before="240" w:after="120"/>
        <w:jc w:val="left"/>
      </w:pPr>
      <w:r>
        <w:rPr>
          <w:rFonts w:ascii="SimSun" w:hAnsi="SimSun" w:eastAsia="SimSun"/>
          <w:b/>
          <w:sz w:val="28"/>
        </w:rPr>
        <w:t>签署页</w:t>
      </w:r>
    </w:p>
    <w:p>
      <w:pPr>
        <w:spacing w:line="360" w:lineRule="auto"/>
      </w:pPr>
      <w:r>
        <w:rPr>
          <w:rFonts w:ascii="SimSun" w:hAnsi="SimSun" w:eastAsia="SimSun"/>
          <w:b/>
          <w:sz w:val="22"/>
        </w:rPr>
        <w:t>甲方（盖章）：____________________________</w:t>
      </w:r>
    </w:p>
    <w:p>
      <w:pPr>
        <w:spacing w:line="360" w:lineRule="auto"/>
      </w:pPr>
      <w:r>
        <w:rPr>
          <w:rFonts w:ascii="SimSun" w:hAnsi="SimSun" w:eastAsia="SimSun"/>
          <w:b w:val="0"/>
          <w:sz w:val="22"/>
        </w:rPr>
        <w:t>法定代表人/授权代表（签字）：____________________________</w:t>
      </w:r>
    </w:p>
    <w:p>
      <w:pPr>
        <w:spacing w:line="360" w:lineRule="auto"/>
      </w:pPr>
      <w:r>
        <w:rPr>
          <w:rFonts w:ascii="SimSun" w:hAnsi="SimSun" w:eastAsia="SimSun"/>
          <w:b w:val="0"/>
          <w:sz w:val="22"/>
        </w:rPr>
        <w:t>签署日期：______年______月______日</w:t>
      </w:r>
    </w:p>
    <w:p>
      <w:pPr>
        <w:spacing w:line="360" w:lineRule="auto"/>
      </w:pPr>
      <w:r>
        <w:rPr>
          <w:rFonts w:ascii="SimSun" w:hAnsi="SimSun" w:eastAsia="SimSun"/>
          <w:b w:val="0"/>
          <w:sz w:val="22"/>
        </w:rPr>
      </w:r>
    </w:p>
    <w:p>
      <w:pPr>
        <w:spacing w:line="360" w:lineRule="auto"/>
      </w:pPr>
      <w:r>
        <w:rPr>
          <w:rFonts w:ascii="SimSun" w:hAnsi="SimSun" w:eastAsia="SimSun"/>
          <w:b/>
          <w:sz w:val="22"/>
        </w:rPr>
        <w:t>乙方（盖章）：北京中适能数字能源科技有限公司</w:t>
      </w:r>
    </w:p>
    <w:p>
      <w:pPr>
        <w:spacing w:line="360" w:lineRule="auto"/>
      </w:pPr>
      <w:r>
        <w:rPr>
          <w:rFonts w:ascii="SimSun" w:hAnsi="SimSun" w:eastAsia="SimSun"/>
          <w:b w:val="0"/>
          <w:sz w:val="22"/>
        </w:rPr>
        <w:t>法定代表人/授权代表（签字）：____________________________</w:t>
      </w:r>
    </w:p>
    <w:p>
      <w:pPr>
        <w:spacing w:line="360" w:lineRule="auto"/>
      </w:pPr>
      <w:r>
        <w:rPr>
          <w:rFonts w:ascii="SimSun" w:hAnsi="SimSun" w:eastAsia="SimSun"/>
          <w:b w:val="0"/>
          <w:sz w:val="22"/>
        </w:rPr>
        <w:t>签署日期：______年______月______日</w:t>
      </w:r>
    </w:p>
    <w:p>
      <w:r>
        <w:br w:type="page"/>
      </w:r>
    </w:p>
    <w:p>
      <w:pPr>
        <w:spacing w:before="240" w:after="120"/>
        <w:jc w:val="left"/>
      </w:pPr>
      <w:r>
        <w:rPr>
          <w:rFonts w:ascii="SimSun" w:hAnsi="SimSun" w:eastAsia="SimSun"/>
          <w:b/>
          <w:sz w:val="28"/>
        </w:rPr>
        <w:t>附件 A：SCOP 基线确认单</w:t>
      </w:r>
    </w:p>
    <w:p>
      <w:pPr>
        <w:spacing w:line="360" w:lineRule="auto"/>
        <w:ind w:firstLine="420"/>
      </w:pPr>
      <w:r>
        <w:rPr>
          <w:rFonts w:ascii="SimSun" w:hAnsi="SimSun" w:eastAsia="SimSun"/>
          <w:b w:val="0"/>
          <w:sz w:val="22"/>
        </w:rPr>
        <w:t>本附件用于记录双方在本合同签署前已确认的 SCOP 物理基线及关键参数，作为后续月度节能量计算的永久依据。</w:t>
      </w:r>
    </w:p>
    <w:tbl>
      <w:tblPr>
        <w:tblStyle w:val="LightGrid-Accent1"/>
        <w:tblW w:type="auto" w:w="0"/>
        <w:tblLook w:firstColumn="1" w:firstRow="1" w:lastColumn="0" w:lastRow="0" w:noHBand="0" w:noVBand="1" w:val="04A0"/>
      </w:tblPr>
      <w:tblGrid>
        <w:gridCol w:w="4703"/>
        <w:gridCol w:w="4703"/>
      </w:tblGrid>
      <w:tr>
        <w:tc>
          <w:tcPr>
            <w:tcW w:type="dxa" w:w="3118"/>
          </w:tcPr>
          <w:p>
            <w:r/>
            <w:r>
              <w:rPr>
                <w:rFonts w:ascii="SimSun" w:hAnsi="SimSun" w:eastAsia="SimSun"/>
                <w:b/>
                <w:sz w:val="20"/>
              </w:rPr>
              <w:t>项目</w:t>
            </w:r>
          </w:p>
        </w:tc>
        <w:tc>
          <w:tcPr>
            <w:tcW w:type="dxa" w:w="6236"/>
          </w:tcPr>
          <w:p>
            <w:r/>
            <w:r>
              <w:rPr>
                <w:rFonts w:ascii="SimSun" w:hAnsi="SimSun" w:eastAsia="SimSun"/>
                <w:b/>
                <w:sz w:val="20"/>
              </w:rPr>
              <w:t>内容</w:t>
            </w:r>
          </w:p>
        </w:tc>
      </w:tr>
      <w:tr>
        <w:tc>
          <w:tcPr>
            <w:tcW w:type="dxa" w:w="3118"/>
          </w:tcPr>
          <w:p>
            <w:r/>
            <w:r>
              <w:rPr>
                <w:rFonts w:ascii="SimSun" w:hAnsi="SimSun" w:eastAsia="SimSun"/>
                <w:b w:val="0"/>
                <w:sz w:val="20"/>
              </w:rPr>
              <w:t>项目地址</w:t>
            </w:r>
          </w:p>
        </w:tc>
        <w:tc>
          <w:tcPr>
            <w:tcW w:type="dxa" w:w="6236"/>
          </w:tcPr>
          <w:p>
            <w:r/>
            <w:r>
              <w:rPr>
                <w:rFonts w:ascii="SimSun" w:hAnsi="SimSun" w:eastAsia="SimSun"/>
                <w:b w:val="0"/>
                <w:sz w:val="20"/>
              </w:rPr>
            </w:r>
          </w:p>
        </w:tc>
      </w:tr>
      <w:tr>
        <w:tc>
          <w:tcPr>
            <w:tcW w:type="dxa" w:w="3118"/>
          </w:tcPr>
          <w:p>
            <w:r/>
            <w:r>
              <w:rPr>
                <w:rFonts w:ascii="SimSun" w:hAnsi="SimSun" w:eastAsia="SimSun"/>
                <w:b w:val="0"/>
                <w:sz w:val="20"/>
              </w:rPr>
              <w:t>暖通系统类型</w:t>
            </w:r>
          </w:p>
        </w:tc>
        <w:tc>
          <w:tcPr>
            <w:tcW w:type="dxa" w:w="6236"/>
          </w:tcPr>
          <w:p>
            <w:r/>
            <w:r>
              <w:rPr>
                <w:rFonts w:ascii="SimSun" w:hAnsi="SimSun" w:eastAsia="SimSun"/>
                <w:b w:val="0"/>
                <w:sz w:val="20"/>
              </w:rPr>
            </w:r>
          </w:p>
        </w:tc>
      </w:tr>
      <w:tr>
        <w:tc>
          <w:tcPr>
            <w:tcW w:type="dxa" w:w="3118"/>
          </w:tcPr>
          <w:p>
            <w:r/>
            <w:r>
              <w:rPr>
                <w:rFonts w:ascii="SimSun" w:hAnsi="SimSun" w:eastAsia="SimSun"/>
                <w:b w:val="0"/>
                <w:sz w:val="20"/>
              </w:rPr>
              <w:t>基线采集起止日期</w:t>
            </w:r>
          </w:p>
        </w:tc>
        <w:tc>
          <w:tcPr>
            <w:tcW w:type="dxa" w:w="6236"/>
          </w:tcPr>
          <w:p>
            <w:r/>
            <w:r>
              <w:rPr>
                <w:rFonts w:ascii="SimSun" w:hAnsi="SimSun" w:eastAsia="SimSun"/>
                <w:b w:val="0"/>
                <w:sz w:val="20"/>
              </w:rPr>
            </w:r>
          </w:p>
        </w:tc>
      </w:tr>
      <w:tr>
        <w:tc>
          <w:tcPr>
            <w:tcW w:type="dxa" w:w="3118"/>
          </w:tcPr>
          <w:p>
            <w:r/>
            <w:r>
              <w:rPr>
                <w:rFonts w:ascii="SimSun" w:hAnsi="SimSun" w:eastAsia="SimSun"/>
                <w:b w:val="0"/>
                <w:sz w:val="20"/>
              </w:rPr>
              <w:t>有效数据覆盖率</w:t>
            </w:r>
          </w:p>
        </w:tc>
        <w:tc>
          <w:tcPr>
            <w:tcW w:type="dxa" w:w="6236"/>
          </w:tcPr>
          <w:p>
            <w:r/>
            <w:r>
              <w:rPr>
                <w:rFonts w:ascii="SimSun" w:hAnsi="SimSun" w:eastAsia="SimSun"/>
                <w:b w:val="0"/>
                <w:sz w:val="20"/>
              </w:rPr>
              <w:t xml:space="preserve"> ≥ 95%</w:t>
            </w:r>
          </w:p>
        </w:tc>
      </w:tr>
      <w:tr>
        <w:tc>
          <w:tcPr>
            <w:tcW w:type="dxa" w:w="3118"/>
          </w:tcPr>
          <w:p>
            <w:r/>
            <w:r>
              <w:rPr>
                <w:rFonts w:ascii="SimSun" w:hAnsi="SimSun" w:eastAsia="SimSun"/>
                <w:b w:val="0"/>
                <w:sz w:val="20"/>
              </w:rPr>
              <w:t>基线函数 f(T_outdoor)</w:t>
            </w:r>
          </w:p>
        </w:tc>
        <w:tc>
          <w:tcPr>
            <w:tcW w:type="dxa" w:w="6236"/>
          </w:tcPr>
          <w:p>
            <w:r/>
            <w:r>
              <w:rPr>
                <w:rFonts w:ascii="SimSun" w:hAnsi="SimSun" w:eastAsia="SimSun"/>
                <w:b w:val="0"/>
                <w:sz w:val="20"/>
              </w:rPr>
            </w:r>
          </w:p>
        </w:tc>
      </w:tr>
      <w:tr>
        <w:tc>
          <w:tcPr>
            <w:tcW w:type="dxa" w:w="3118"/>
          </w:tcPr>
          <w:p>
            <w:r/>
            <w:r>
              <w:rPr>
                <w:rFonts w:ascii="SimSun" w:hAnsi="SimSun" w:eastAsia="SimSun"/>
                <w:b w:val="0"/>
                <w:sz w:val="20"/>
              </w:rPr>
              <w:t>拟合优度 R²</w:t>
            </w:r>
          </w:p>
        </w:tc>
        <w:tc>
          <w:tcPr>
            <w:tcW w:type="dxa" w:w="6236"/>
          </w:tcPr>
          <w:p>
            <w:r/>
            <w:r>
              <w:rPr>
                <w:rFonts w:ascii="SimSun" w:hAnsi="SimSun" w:eastAsia="SimSun"/>
                <w:b w:val="0"/>
                <w:sz w:val="20"/>
              </w:rPr>
              <w:t xml:space="preserve"> ≥ 0.85</w:t>
            </w:r>
          </w:p>
        </w:tc>
      </w:tr>
      <w:tr>
        <w:tc>
          <w:tcPr>
            <w:tcW w:type="dxa" w:w="3118"/>
          </w:tcPr>
          <w:p>
            <w:r/>
            <w:r>
              <w:rPr>
                <w:rFonts w:ascii="SimSun" w:hAnsi="SimSun" w:eastAsia="SimSun"/>
                <w:b w:val="0"/>
                <w:sz w:val="20"/>
              </w:rPr>
              <w:t>计量设备清单（型号/数量/检定证书号）</w:t>
            </w:r>
          </w:p>
        </w:tc>
        <w:tc>
          <w:tcPr>
            <w:tcW w:type="dxa" w:w="6236"/>
          </w:tcPr>
          <w:p>
            <w:r/>
            <w:r>
              <w:rPr>
                <w:rFonts w:ascii="SimSun" w:hAnsi="SimSun" w:eastAsia="SimSun"/>
                <w:b w:val="0"/>
                <w:sz w:val="20"/>
              </w:rPr>
              <w:t>由平台留存</w:t>
            </w:r>
          </w:p>
        </w:tc>
      </w:tr>
      <w:tr>
        <w:tc>
          <w:tcPr>
            <w:tcW w:type="dxa" w:w="3118"/>
          </w:tcPr>
          <w:p>
            <w:r/>
            <w:r>
              <w:rPr>
                <w:rFonts w:ascii="SimSun" w:hAnsi="SimSun" w:eastAsia="SimSun"/>
                <w:b w:val="0"/>
                <w:sz w:val="20"/>
              </w:rPr>
              <w:t>典型工况预期月度节能量量级</w:t>
            </w:r>
          </w:p>
        </w:tc>
        <w:tc>
          <w:tcPr>
            <w:tcW w:type="dxa" w:w="6236"/>
          </w:tcPr>
          <w:p>
            <w:r/>
            <w:r>
              <w:rPr>
                <w:rFonts w:ascii="SimSun" w:hAnsi="SimSun" w:eastAsia="SimSun"/>
                <w:b w:val="0"/>
                <w:sz w:val="20"/>
              </w:rPr>
            </w:r>
          </w:p>
        </w:tc>
      </w:tr>
      <w:tr>
        <w:tc>
          <w:tcPr>
            <w:tcW w:type="dxa" w:w="3118"/>
          </w:tcPr>
          <w:p>
            <w:r/>
            <w:r>
              <w:rPr>
                <w:rFonts w:ascii="SimSun" w:hAnsi="SimSun" w:eastAsia="SimSun"/>
                <w:b w:val="0"/>
                <w:sz w:val="20"/>
              </w:rPr>
              <w:t>运行规范关键约束</w:t>
            </w:r>
          </w:p>
        </w:tc>
        <w:tc>
          <w:tcPr>
            <w:tcW w:type="dxa" w:w="6236"/>
          </w:tcPr>
          <w:p>
            <w:r/>
            <w:r>
              <w:rPr>
                <w:rFonts w:ascii="SimSun" w:hAnsi="SimSun" w:eastAsia="SimSun"/>
                <w:b w:val="0"/>
                <w:sz w:val="20"/>
              </w:rPr>
              <w:t>由平台留存</w:t>
            </w:r>
          </w:p>
        </w:tc>
      </w:tr>
      <w:tr>
        <w:tc>
          <w:tcPr>
            <w:tcW w:type="dxa" w:w="3118"/>
          </w:tcPr>
          <w:p>
            <w:r/>
            <w:r>
              <w:rPr>
                <w:rFonts w:ascii="SimSun" w:hAnsi="SimSun" w:eastAsia="SimSun"/>
                <w:b w:val="0"/>
                <w:sz w:val="20"/>
              </w:rPr>
              <w:t>确认日期</w:t>
            </w:r>
          </w:p>
        </w:tc>
        <w:tc>
          <w:tcPr>
            <w:tcW w:type="dxa" w:w="6236"/>
          </w:tcPr>
          <w:p>
            <w:r/>
            <w:r>
              <w:rPr>
                <w:rFonts w:ascii="SimSun" w:hAnsi="SimSun" w:eastAsia="SimSun"/>
                <w:b w:val="0"/>
                <w:sz w:val="20"/>
              </w:rPr>
            </w:r>
          </w:p>
        </w:tc>
      </w:tr>
    </w:tbl>
    <w:p>
      <w:pPr>
        <w:spacing w:line="360" w:lineRule="auto"/>
      </w:pPr>
      <w:r>
        <w:rPr>
          <w:rFonts w:ascii="SimSun" w:hAnsi="SimSun" w:eastAsia="SimSun"/>
          <w:b w:val="0"/>
          <w:sz w:val="22"/>
        </w:rPr>
        <w:t>甲方确认人（签字）：____________________________</w:t>
      </w:r>
    </w:p>
    <w:p>
      <w:pPr>
        <w:spacing w:line="360" w:lineRule="auto"/>
      </w:pPr>
      <w:r>
        <w:rPr>
          <w:rFonts w:ascii="SimSun" w:hAnsi="SimSun" w:eastAsia="SimSun"/>
          <w:b w:val="0"/>
          <w:sz w:val="22"/>
        </w:rPr>
        <w:t>乙方确认人（签字）：____________________________</w:t>
      </w:r>
    </w:p>
    <w:p>
      <w:pPr>
        <w:spacing w:line="360" w:lineRule="auto"/>
        <w:ind w:firstLine="420"/>
      </w:pPr>
      <w:r>
        <w:rPr>
          <w:rFonts w:ascii="SimSun" w:hAnsi="SimSun" w:eastAsia="SimSun"/>
          <w:b w:val="0"/>
          <w:sz w:val="22"/>
        </w:rPr>
        <w:t>注：完整的基线建立技术细节、原始数据、回归分析过程通过中适能数字能源平台留存，双方均可调阅；平台数据与本附件登记内容不一致的，以平台时序数据为准。</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